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6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ook w:val="04A0" w:firstRow="1" w:lastRow="0" w:firstColumn="1" w:lastColumn="0" w:noHBand="0" w:noVBand="1"/>
        <w:shd w:val="clear" w:color="auto" w:fill="3057B9"/>
        <w:tblLayout w:type="autofit"/>
      </w:tblPr>
      <w:tblGrid>
        <w:gridCol w:w="893"/>
      </w:tblGrid>
      <w:tr>
        <w:tc>
          <w:tcPr>
            <w:tcW w:w="893" w:type="dxa"/>
            <w:shd w:val="clear" w:color="auto" w:fill="3057B9"/>
          </w:tcPr>
          <w:p>
            <w:pPr>
              <w:jc w:val="center"/>
              <w:spacing w:after="60"/>
              <w:rPr>
                <w:rFonts w:ascii="맑은 고딕" w:eastAsia="맑은 고딕" w:hAnsi="맑은 고딕" w:cs="맑은 고딕"/>
                <w:b/>
                <w:bCs/>
                <w:color w:val="FFFFFF"/>
                <w:sz w:val="14"/>
                <w:szCs w:val="14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color w:val="FFFFFF"/>
                <w:sz w:val="18"/>
                <w:szCs w:val="18"/>
                <w:rtl w:val="off"/>
              </w:rPr>
              <w:t>첨부 2</w:t>
            </w:r>
          </w:p>
        </w:tc>
      </w:tr>
    </w:tbl>
    <w:p>
      <w:pPr>
        <w:jc w:val="center"/>
        <w:spacing w:after="60"/>
        <w:rPr>
          <w:sz w:val="40"/>
          <w:szCs w:val="40"/>
        </w:rPr>
      </w:pPr>
      <w:r>
        <w:rPr>
          <w:rFonts w:ascii="맑은 고딕" w:eastAsia="맑은 고딕" w:hAnsi="맑은 고딕" w:cs="맑은 고딕"/>
          <w:b/>
          <w:bCs/>
          <w:color w:val="1F4E79"/>
          <w:sz w:val="40"/>
          <w:szCs w:val="40"/>
        </w:rPr>
        <w:t>공주의료원의 정책적·구조적 적자</w:t>
      </w:r>
    </w:p>
    <w:p>
      <w:pPr>
        <w:jc w:val="center"/>
        <w:spacing w:after="200"/>
        <w:rPr>
          <w:color w:val="3057B9"/>
          <w:sz w:val="40"/>
          <w:szCs w:val="40"/>
          <w:u w:color="auto"/>
        </w:rPr>
      </w:pPr>
      <w:r>
        <w:rPr>
          <w:rFonts w:ascii="맑은 고딕" w:eastAsia="맑은 고딕" w:hAnsi="맑은 고딕" w:cs="맑은 고딕"/>
          <w:b/>
          <w:bCs/>
          <w:color w:val="3057B9"/>
          <w:sz w:val="40"/>
          <w:szCs w:val="40"/>
          <w:u w:color="auto"/>
        </w:rPr>
        <w:t>(=“착한 적자”)</w:t>
      </w:r>
    </w:p>
    <w:p>
      <w:pPr>
        <w:pBdr>
          <w:bottom w:val="single" w:sz="12" w:space="4" w:color="1F4E79"/>
        </w:pBdr>
        <w:spacing w:after="260"/>
      </w:pP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공주의료원의 “정책적·구조적 적자(=착한 적자)”는 공공의료 역할 수행 과정에서 발생하는 적자입니다. 내용은 아래와 같습니다.</w:t>
      </w:r>
    </w:p>
    <w:p>
      <w:pPr>
        <w:spacing w:after="18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shd w:val="clear" w:color="auto" w:fill="203A7B"/>
      </w:tblPr>
      <w:tblGrid>
        <w:gridCol w:w="9638"/>
      </w:tblGrid>
      <w:tr>
        <w:tc>
          <w:tcPr>
            <w:tcW w:w="9638" w:type="dxa"/>
            <w:shd w:val="clear" w:color="auto" w:fill="203A7B"/>
            <w:tcMar>
              <w:top w:w="130" w:type="dxa"/>
              <w:left w:w="220" w:type="dxa"/>
              <w:bottom w:w="130" w:type="dxa"/>
              <w:right w:w="22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1 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공공의료 수행 자체에서 발생하는 적자 — 의료원이 떠안는 구조</w:t>
            </w:r>
          </w:p>
        </w:tc>
      </w:tr>
    </w:tbl>
    <w:p>
      <w:pPr>
        <w:spacing w:after="120"/>
      </w:pP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취약계층(의료급여·저소득층·노인) 진료 비중 높음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수익성 낮은 필수 의료 유지 (응급, 산부인과, 소아과 등)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감염병 대응, 공공보건사업 수행</w:t>
      </w:r>
    </w:p>
    <w:p>
      <w:pPr>
        <w:spacing w:after="20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shd w:val="clear" w:color="auto" w:fill="203A7B"/>
      </w:tblPr>
      <w:tblGrid>
        <w:gridCol w:w="9638"/>
      </w:tblGrid>
      <w:tr>
        <w:tc>
          <w:tcPr>
            <w:tcW w:w="9638" w:type="dxa"/>
            <w:shd w:val="clear" w:color="auto" w:fill="203A7B"/>
            <w:tcMar>
              <w:top w:w="130" w:type="dxa"/>
              <w:left w:w="220" w:type="dxa"/>
              <w:bottom w:w="130" w:type="dxa"/>
              <w:right w:w="22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2 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낮은 수가 구조 (건강보험·의료급여)</w:t>
            </w:r>
          </w:p>
        </w:tc>
      </w:tr>
    </w:tbl>
    <w:p>
      <w:pPr>
        <w:spacing w:after="120"/>
      </w:pP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의료급여 환자 진료비 보상 수준이 낮음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공공병원은 비급여 확대 제한 → 수익 보전 어려움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강제적인 신포괄수가제 적용 (민간병원은 대부분 미참여)</w:t>
      </w:r>
    </w:p>
    <w:p>
      <w:pPr>
        <w:spacing w:after="20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shd w:val="clear" w:color="auto" w:fill="203A7B"/>
      </w:tblPr>
      <w:tblGrid>
        <w:gridCol w:w="9638"/>
      </w:tblGrid>
      <w:tr>
        <w:tc>
          <w:tcPr>
            <w:tcW w:w="9638" w:type="dxa"/>
            <w:shd w:val="clear" w:color="auto" w:fill="203A7B"/>
            <w:tcMar>
              <w:top w:w="130" w:type="dxa"/>
              <w:left w:w="220" w:type="dxa"/>
              <w:bottom w:w="130" w:type="dxa"/>
              <w:right w:w="22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3 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환자구성의 구조적 문제</w:t>
            </w:r>
          </w:p>
        </w:tc>
      </w:tr>
    </w:tbl>
    <w:p>
      <w:pPr>
        <w:spacing w:after="120"/>
      </w:pP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고령·만성질환, 취약계층 환자 비중 높음, 복합질환 환자 비중 높음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입원기간 길고 회전율 낮음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치료 난이도 대비 수익성 낮음</w:t>
      </w:r>
    </w:p>
    <w:p>
      <w:pPr>
        <w:spacing w:after="200"/>
        <w:rPr>
          <w:lang/>
          <w:rtl w:val="off"/>
        </w:rPr>
      </w:pPr>
    </w:p>
    <w:p>
      <w:pPr>
        <w:spacing w:after="200"/>
        <w:rPr>
          <w:lang/>
          <w:rtl w:val="off"/>
        </w:rPr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shd w:val="clear" w:color="auto" w:fill="203A7B"/>
      </w:tblPr>
      <w:tblGrid>
        <w:gridCol w:w="9638"/>
      </w:tblGrid>
      <w:tr>
        <w:tc>
          <w:tcPr>
            <w:tcW w:w="9638" w:type="dxa"/>
            <w:shd w:val="clear" w:color="auto" w:fill="203A7B"/>
            <w:tcMar>
              <w:top w:w="130" w:type="dxa"/>
              <w:left w:w="220" w:type="dxa"/>
              <w:bottom w:w="130" w:type="dxa"/>
              <w:right w:w="22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4 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정책사업 강제 수행</w:t>
            </w:r>
          </w:p>
        </w:tc>
      </w:tr>
    </w:tbl>
    <w:p>
      <w:pPr>
        <w:spacing w:after="120"/>
      </w:pP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감염병 병상 유지 (코로나 이후 상시 대응체계)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지역거점병원 역할 (응급·재난 대응)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공공보건사업 (관련 시설기관 교육, 방문 재택진료 등)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민간병원이 기피하는 분야 담당</w:t>
      </w:r>
    </w:p>
    <w:p>
      <w:pPr>
        <w:spacing w:after="20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shd w:val="clear" w:color="auto" w:fill="203A7B"/>
      </w:tblPr>
      <w:tblGrid>
        <w:gridCol w:w="9638"/>
      </w:tblGrid>
      <w:tr>
        <w:tc>
          <w:tcPr>
            <w:tcW w:w="9638" w:type="dxa"/>
            <w:shd w:val="clear" w:color="auto" w:fill="203A7B"/>
            <w:tcMar>
              <w:top w:w="130" w:type="dxa"/>
              <w:left w:w="220" w:type="dxa"/>
              <w:bottom w:w="130" w:type="dxa"/>
              <w:right w:w="22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5 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인력 및 운영의 공공성 제약</w:t>
            </w:r>
          </w:p>
        </w:tc>
      </w:tr>
    </w:tbl>
    <w:p>
      <w:pPr>
        <w:spacing w:after="120"/>
      </w:pP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필수인력 확보(야간, 응급) → 인건비 고정비 증가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민간처럼 인력 축소·진료 축소 어려움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공공기관 규정으로 민간병원에 비해 유연한 경영 제한</w:t>
      </w:r>
    </w:p>
    <w:p>
      <w:pPr>
        <w:spacing w:after="20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  <w:shd w:val="clear" w:color="auto" w:fill="203A7B"/>
      </w:tblPr>
      <w:tblGrid>
        <w:gridCol w:w="9638"/>
      </w:tblGrid>
      <w:tr>
        <w:tc>
          <w:tcPr>
            <w:tcW w:w="9638" w:type="dxa"/>
            <w:shd w:val="clear" w:color="auto" w:fill="203A7B"/>
            <w:tcMar>
              <w:top w:w="130" w:type="dxa"/>
              <w:left w:w="220" w:type="dxa"/>
              <w:bottom w:w="130" w:type="dxa"/>
              <w:right w:w="22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6 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정부·지자체 지원 부족 — “공공의료 수행에 따른 비용은 미보전” 구조</w:t>
            </w:r>
          </w:p>
        </w:tc>
      </w:tr>
    </w:tbl>
    <w:p>
      <w:pPr>
        <w:spacing w:after="120"/>
      </w:pP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공익적 적자 보전 재원 부족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타 시도 대비 지원 격차 존재</w:t>
      </w:r>
    </w:p>
    <w:p>
      <w:pPr>
        <w:ind w:left="420" w:hanging="210"/>
        <w:spacing w:after="70" w:line="280"/>
      </w:pPr>
      <w:r>
        <w:rPr>
          <w:rFonts w:ascii="맑은 고딕" w:eastAsia="맑은 고딕" w:hAnsi="맑은 고딕" w:cs="맑은 고딕"/>
          <w:b/>
          <w:bCs/>
          <w:color w:val="0F6E63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운영비 지원보다 시설·사업 중심 지원만으로는 → 계속 적자 누적</w:t>
      </w:r>
    </w:p>
    <w:p>
      <w:pPr>
        <w:spacing w:after="240"/>
      </w:pPr>
    </w:p>
    <w:tbl>
      <w:tblPr>
        <w:tblW w:w="9638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DCE6F1"/>
            <w:tcMar>
              <w:top w:w="160" w:type="dxa"/>
              <w:left w:w="240" w:type="dxa"/>
              <w:bottom w:w="160" w:type="dxa"/>
              <w:right w:w="240" w:type="dxa"/>
            </w:tcMar>
          </w:tcPr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2"/>
                <w:szCs w:val="22"/>
              </w:rPr>
              <w:t>결론</w:t>
            </w:r>
          </w:p>
          <w:p>
            <w:pPr>
              <w:spacing w:after="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1F1F"/>
                <w:sz w:val="22"/>
                <w:szCs w:val="22"/>
              </w:rPr>
              <w:t>구조적·정책적 적자에 대해서는 지자체·국가의 재정 보전이 필요합니다.</w:t>
            </w:r>
          </w:p>
        </w:tc>
      </w:tr>
    </w:tbl>
    <w:p/>
    <w:sectPr>
      <w:pgSz w:w="11906" w:h="16838"/>
      <w:pgMar w:top="1134" w:right="1134" w:bottom="1134" w:left="1134" w:header="708" w:footer="708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displayBackgroundShape/>
  <w:bordersDontSurroundHeader/>
  <w:bordersDontSurroundFooter/>
  <w:hideGrammaticalErrors/>
  <w:proofState w:spelling="clean" w:grammar="clean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/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</w:latentStyles>
  <w:style w:type="paragraph" w:styleId="Title">
    <w:name w:val="Title"/>
    <w:next w:val="Title"/>
    <w:qFormat/>
    <w:rPr>
      <w:sz w:val="56"/>
      <w:szCs w:val="56"/>
    </w:rPr>
  </w:style>
  <w:style w:type="paragraph" w:customStyle="1" w:styleId="Heading1">
    <w:name w:val="Heading 1"/>
    <w:next w:val="Title"/>
    <w:qFormat/>
    <w:rPr>
      <w:color w:val="2E74B5"/>
      <w:sz w:val="32"/>
      <w:szCs w:val="32"/>
    </w:rPr>
  </w:style>
  <w:style w:type="paragraph" w:customStyle="1" w:styleId="Heading2">
    <w:name w:val="Heading 2"/>
    <w:next w:val="Title"/>
    <w:qFormat/>
    <w:rPr>
      <w:color w:val="2E74B5"/>
      <w:sz w:val="26"/>
      <w:szCs w:val="26"/>
    </w:rPr>
  </w:style>
  <w:style w:type="paragraph" w:customStyle="1" w:styleId="Heading3">
    <w:name w:val="Heading 3"/>
    <w:next w:val="Title"/>
    <w:qFormat/>
    <w:rPr>
      <w:color w:val="1F4D78"/>
      <w:sz w:val="24"/>
      <w:szCs w:val="24"/>
    </w:rPr>
  </w:style>
  <w:style w:type="paragraph" w:customStyle="1" w:styleId="Heading4">
    <w:name w:val="Heading 4"/>
    <w:next w:val="Title"/>
    <w:qFormat/>
    <w:rPr>
      <w:i/>
      <w:iCs/>
      <w:color w:val="2E74B5"/>
    </w:rPr>
  </w:style>
  <w:style w:type="paragraph" w:customStyle="1" w:styleId="Heading5">
    <w:name w:val="Heading 5"/>
    <w:next w:val="Title"/>
    <w:qFormat/>
    <w:rPr>
      <w:color w:val="2E74B5"/>
    </w:rPr>
  </w:style>
  <w:style w:type="paragraph" w:customStyle="1" w:styleId="Heading6">
    <w:name w:val="Heading 6"/>
    <w:next w:val="Title"/>
    <w:qFormat/>
    <w:rPr>
      <w:color w:val="1F4D78"/>
    </w:rPr>
  </w:style>
  <w:style w:type="paragraph" w:styleId="Strong">
    <w:name w:val="Strong"/>
    <w:next w:val="Title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auto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uiPriority w:val="99"/>
    <w:link w:val="FootnoteTextChar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link w:val="FootnoteText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uiPriority w:val="99"/>
    <w:link w:val="EndnoteTextChar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uiPriority w:val="99"/>
    <w:link w:val="EndnoteText"/>
    <w:semiHidden/>
    <w:unhideWhenUsed/>
    <w:rPr>
      <w:sz w:val="20"/>
      <w:szCs w:val="20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  <w:style w:type="table" w:styleId="a6">
    <w:name w:val="Table Grid"/>
    <w:uiPriority w:val="39"/>
    <w:basedOn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5000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USER</cp:lastModifiedBy>
  <cp:revision>1</cp:revision>
  <dcterms:created xsi:type="dcterms:W3CDTF">2026-08-14T03:10:44Z</dcterms:created>
  <dcterms:modified xsi:type="dcterms:W3CDTF">2026-08-14T05:07:01Z</dcterms:modified>
  <cp:lastPrinted>2026-08-14T02:48:51Z</cp:lastPrinted>
  <cp:version>1300.0100.01</cp:version>
</cp:coreProperties>
</file>