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tbl>
      <w:tblPr>
        <w:tblStyle w:val="a0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/>
          <w:insideV w:val="none"/>
        </w:tblBorders>
        <w:tblLook w:val="04A0" w:firstRow="1" w:lastRow="0" w:firstColumn="1" w:lastColumn="0" w:noHBand="0" w:noVBand="1"/>
        <w:shd w:val="clear" w:color="auto" w:fill="3057B9"/>
        <w:tblLayout w:type="autofit"/>
      </w:tblPr>
      <w:tblGrid>
        <w:gridCol w:w="893"/>
      </w:tblGrid>
      <w:tr>
        <w:tc>
          <w:tcPr>
            <w:tcW w:w="893" w:type="dxa"/>
            <w:shd w:val="clear" w:color="auto" w:fill="3057B9"/>
          </w:tcPr>
          <w:p>
            <w:pPr>
              <w:jc w:val="center"/>
              <w:spacing w:after="60"/>
              <w:rPr>
                <w:rFonts w:ascii="맑은 고딕" w:eastAsia="맑은 고딕" w:hAnsi="맑은 고딕" w:cs="맑은 고딕"/>
                <w:b/>
                <w:bCs/>
                <w:color w:val="FFFFFF"/>
                <w:sz w:val="14"/>
                <w:szCs w:val="14"/>
              </w:rPr>
            </w:pPr>
            <w:r>
              <w:rPr>
                <w:lang w:eastAsia="ko-KR"/>
                <w:rFonts w:ascii="맑은 고딕" w:eastAsia="맑은 고딕" w:hAnsi="맑은 고딕" w:cs="맑은 고딕"/>
                <w:b/>
                <w:bCs/>
                <w:color w:val="FFFFFF"/>
                <w:sz w:val="18"/>
                <w:szCs w:val="18"/>
                <w:rtl w:val="off"/>
              </w:rPr>
              <w:t>첨부 1</w:t>
            </w:r>
          </w:p>
        </w:tc>
      </w:tr>
    </w:tbl>
    <w:p>
      <w:pPr>
        <w:jc w:val="center"/>
        <w:spacing w:after="60"/>
      </w:pPr>
      <w:r>
        <w:rPr>
          <w:rFonts w:ascii="맑은 고딕" w:eastAsia="맑은 고딕" w:hAnsi="맑은 고딕" w:cs="맑은 고딕"/>
          <w:b/>
          <w:bCs/>
          <w:color w:val="1F4E79"/>
          <w:sz w:val="32"/>
          <w:szCs w:val="32"/>
        </w:rPr>
        <w:t>충청남도 공공의료 지속가능성 확보를 위한 정책 제안</w:t>
      </w:r>
    </w:p>
    <w:p>
      <w:pPr>
        <w:jc w:val="center"/>
        <w:spacing w:after="200"/>
      </w:pPr>
      <w:r>
        <w:rPr>
          <w:rFonts w:ascii="맑은 고딕" w:eastAsia="맑은 고딕" w:hAnsi="맑은 고딕" w:cs="맑은 고딕"/>
          <w:color w:val="555555"/>
          <w:sz w:val="20"/>
          <w:szCs w:val="20"/>
        </w:rPr>
        <w:t>- 공주의료원 구조적·정책적 적자 분석 및 재정지원 개선방안 -</w:t>
      </w:r>
    </w:p>
    <w:p>
      <w:pPr>
        <w:ind w:left="0" w:right="0" w:firstLine="0"/>
        <w:jc w:val="left"/>
        <w:pBdr>
          <w:bottom w:val="single" w:sz="12" w:space="4" w:color="1F4E79"/>
        </w:pBdr>
        <w:spacing w:after="0" w:line="204"/>
      </w:pPr>
    </w:p>
    <w:tbl>
      <w:tblPr>
        <w:tblW w:w="9638" w:type="dxa"/>
        <w:tblBorders>
          <w:top w:val="single" w:sz="4" w:space="0" w:color="1F4E79"/>
          <w:left w:val="single" w:sz="4" w:space="0" w:color="1F4E79"/>
          <w:bottom w:val="single" w:sz="4" w:space="0" w:color="1F4E79"/>
          <w:right w:val="single" w:sz="4" w:space="0" w:color="1F4E79"/>
          <w:insideH w:val="none"/>
          <w:insideV w:val="none"/>
        </w:tblBorders>
        <w:tblLook w:val="04A0" w:firstRow="1" w:lastRow="0" w:firstColumn="1" w:lastColumn="0" w:noHBand="0" w:noVBand="1"/>
      </w:tblPr>
      <w:tblGrid>
        <w:gridCol w:w="9638"/>
      </w:tblGrid>
      <w:tr>
        <w:tc>
          <w:tcPr>
            <w:tcW w:w="9638" w:type="dxa"/>
            <w:shd w:val="clear" w:color="auto" w:fill="DCE6F1"/>
            <w:tcMar>
              <w:top w:w="160" w:type="dxa"/>
              <w:left w:w="240" w:type="dxa"/>
              <w:bottom w:w="160" w:type="dxa"/>
              <w:right w:w="240" w:type="dxa"/>
            </w:tcMar>
          </w:tcPr>
          <w:p>
            <w:pPr>
              <w:spacing w:after="80" w:line="288"/>
            </w:pPr>
            <w:r>
              <w:rPr>
                <w:rFonts w:ascii="맑은 고딕" w:eastAsia="맑은 고딕" w:hAnsi="맑은 고딕" w:cs="맑은 고딕"/>
                <w:b/>
                <w:bCs/>
                <w:color w:val="1F4E79"/>
                <w:sz w:val="22"/>
                <w:szCs w:val="22"/>
              </w:rPr>
              <w:t>한눈에 보는 핵심</w:t>
            </w:r>
          </w:p>
          <w:p>
            <w:pPr>
              <w:spacing w:after="80" w:line="288"/>
            </w:pPr>
            <w:r>
              <w:rPr>
                <w:rFonts w:ascii="맑은 고딕" w:eastAsia="맑은 고딕" w:hAnsi="맑은 고딕" w:cs="맑은 고딕"/>
                <w:b w:val="0"/>
                <w:bCs w:val="0"/>
                <w:color w:val="1F1F1F"/>
                <w:sz w:val="21"/>
                <w:szCs w:val="21"/>
              </w:rPr>
              <w:t>문제 : 병상가동률·의료서비스 실적은 계속 향상되고 있음에도 재정적자는 개선되지 않음</w:t>
            </w:r>
          </w:p>
          <w:p>
            <w:pPr>
              <w:spacing w:after="80" w:line="288"/>
            </w:pPr>
            <w:r>
              <w:rPr>
                <w:rFonts w:ascii="맑은 고딕" w:eastAsia="맑은 고딕" w:hAnsi="맑은 고딕" w:cs="맑은 고딕"/>
                <w:b w:val="0"/>
                <w:bCs w:val="0"/>
                <w:color w:val="1F1F1F"/>
                <w:sz w:val="21"/>
                <w:szCs w:val="21"/>
              </w:rPr>
              <w:t>원인 : 경영 실패가 아니라, 공공의료 수행 과정에서 필연적으로 발생하는 구조적·정책적 적자</w:t>
            </w:r>
          </w:p>
          <w:p>
            <w:pPr>
              <w:spacing w:after="80" w:line="288"/>
            </w:pPr>
            <w:r>
              <w:rPr>
                <w:rFonts w:ascii="맑은 고딕" w:eastAsia="맑은 고딕" w:hAnsi="맑은 고딕" w:cs="맑은 고딕"/>
                <w:b w:val="0"/>
                <w:bCs w:val="0"/>
                <w:color w:val="1F1F1F"/>
                <w:sz w:val="21"/>
                <w:szCs w:val="21"/>
              </w:rPr>
              <w:t>비교 : 타 시·도는 연 수십억~수백억 원의 운영비를 지원 중이나, 충남도의 지원은 전국 최하위 수준이며 그마저 최근 일부 축소됨</w:t>
            </w:r>
          </w:p>
          <w:p>
            <w:pPr>
              <w:spacing w:after="0" w:line="288"/>
            </w:pPr>
            <w:r>
              <w:rPr>
                <w:rFonts w:ascii="맑은 고딕" w:eastAsia="맑은 고딕" w:hAnsi="맑은 고딕" w:cs="맑은 고딕"/>
                <w:b w:val="0"/>
                <w:bCs w:val="0"/>
                <w:color w:val="1F1F1F"/>
                <w:sz w:val="21"/>
                <w:szCs w:val="21"/>
              </w:rPr>
              <w:t>요청 : 구조적·정책적 적자에 대한 인식 전환과 단계적 재정지원 체계 마련</w:t>
            </w:r>
          </w:p>
        </w:tc>
      </w:tr>
    </w:tbl>
    <w:p>
      <w:pPr>
        <w:spacing w:after="260"/>
      </w:pPr>
    </w:p>
    <w:tbl>
      <w:tblPr>
        <w:tblW w:w="9638" w:type="dxa"/>
        <w:tblBorders>
          <w:top w:val="none"/>
          <w:left w:val="none"/>
          <w:bottom w:val="none"/>
          <w:right w:val="none"/>
          <w:insideH w:val="none"/>
          <w:insideV w:val="none"/>
        </w:tblBorders>
        <w:tblLook w:val="04A0" w:firstRow="1" w:lastRow="0" w:firstColumn="1" w:lastColumn="0" w:noHBand="0" w:noVBand="1"/>
      </w:tblPr>
      <w:tblGrid>
        <w:gridCol w:w="9638"/>
      </w:tblGrid>
      <w:tr>
        <w:tc>
          <w:tcPr>
            <w:tcW w:w="9638" w:type="dxa"/>
            <w:shd w:val="clear" w:color="auto" w:fill="1F4E79"/>
            <w:tcMar>
              <w:top w:w="120" w:type="dxa"/>
              <w:left w:w="200" w:type="dxa"/>
              <w:bottom w:w="120" w:type="dxa"/>
              <w:right w:w="200" w:type="dxa"/>
            </w:tcMar>
          </w:tcPr>
          <w:p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24"/>
                <w:szCs w:val="24"/>
              </w:rPr>
              <w:t xml:space="preserve">Ⅰ  </w:t>
            </w: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24"/>
                <w:szCs w:val="24"/>
              </w:rPr>
              <w:t>보고 목적</w:t>
            </w:r>
          </w:p>
        </w:tc>
      </w:tr>
    </w:tbl>
    <w:p>
      <w:pPr>
        <w:spacing w:after="140"/>
      </w:pPr>
    </w:p>
    <w:p>
      <w:pPr>
        <w:spacing w:after="140" w:line="288"/>
      </w:pPr>
      <w:r>
        <w:rPr>
          <w:rFonts w:ascii="맑은 고딕" w:eastAsia="맑은 고딕" w:hAnsi="맑은 고딕" w:cs="맑은 고딕"/>
          <w:sz w:val="21"/>
          <w:szCs w:val="21"/>
        </w:rPr>
        <w:t>공주의료원은 충남 중부권 지역의 필수의료를 담당하는 대표 공공의료기관으로서 응급의료, 감염병 대응, 재활의료, 취약계층 진료 등 민간의료기관이 수행하기 어려운 공공의료 기능을 담당하고 있습니다. 최근 병상가동률과 의료서비스 실적은 지속적으로 향상되었음에도 재정여건은 악화되고 있습니다.</w:t>
      </w:r>
    </w:p>
    <w:tbl>
      <w:tblPr>
        <w:tblW w:w="9638" w:type="dxa"/>
        <w:tblBorders>
          <w:top w:val="single" w:sz="4" w:space="0" w:color="1F4E79"/>
          <w:left w:val="single" w:sz="4" w:space="0" w:color="1F4E79"/>
          <w:bottom w:val="single" w:sz="4" w:space="0" w:color="1F4E79"/>
          <w:right w:val="single" w:sz="4" w:space="0" w:color="1F4E79"/>
          <w:insideH w:val="none"/>
          <w:insideV w:val="none"/>
        </w:tblBorders>
        <w:tblLook w:val="04A0" w:firstRow="1" w:lastRow="0" w:firstColumn="1" w:lastColumn="0" w:noHBand="0" w:noVBand="1"/>
      </w:tblPr>
      <w:tblGrid>
        <w:gridCol w:w="9638"/>
      </w:tblGrid>
      <w:tr>
        <w:tc>
          <w:tcPr>
            <w:tcW w:w="9638" w:type="dxa"/>
            <w:shd w:val="clear" w:color="auto" w:fill="DCE6F1"/>
            <w:tcMar>
              <w:top w:w="160" w:type="dxa"/>
              <w:left w:w="240" w:type="dxa"/>
              <w:bottom w:w="160" w:type="dxa"/>
              <w:right w:w="240" w:type="dxa"/>
            </w:tcMar>
          </w:tcPr>
          <w:p>
            <w:pPr>
              <w:spacing w:after="0" w:line="288"/>
            </w:pPr>
            <w:r>
              <w:rPr>
                <w:rFonts w:ascii="맑은 고딕" w:eastAsia="맑은 고딕" w:hAnsi="맑은 고딕" w:cs="맑은 고딕"/>
                <w:b/>
                <w:bCs/>
                <w:color w:val="1F4E79"/>
                <w:sz w:val="21"/>
                <w:szCs w:val="21"/>
              </w:rPr>
              <w:t>이는 경영 실패가 아니라 공공의료 수행 과정에서 발생하는 구조적·정책적 적자에 기인합니다.</w:t>
            </w:r>
          </w:p>
        </w:tc>
      </w:tr>
    </w:tbl>
    <w:p>
      <w:pPr>
        <w:spacing w:after="100"/>
      </w:pPr>
    </w:p>
    <w:p>
      <w:pPr>
        <w:spacing w:after="140" w:line="288"/>
      </w:pPr>
      <w:r>
        <w:rPr>
          <w:rFonts w:ascii="맑은 고딕" w:eastAsia="맑은 고딕" w:hAnsi="맑은 고딕" w:cs="맑은 고딕"/>
          <w:sz w:val="21"/>
          <w:szCs w:val="21"/>
        </w:rPr>
        <w:t>본 보고서는 이러한 원인을 분석하고 충청남도의 정책적 대응 방향을 제시하기 위해 작성하였습니다.</w:t>
      </w:r>
    </w:p>
    <w:p>
      <w:pPr>
        <w:spacing w:after="200"/>
        <w:rPr>
          <w:sz w:val="10"/>
          <w:szCs w:val="10"/>
        </w:rPr>
      </w:pPr>
    </w:p>
    <w:tbl>
      <w:tblPr>
        <w:tblW w:w="9638" w:type="dxa"/>
        <w:tblBorders>
          <w:top w:val="none"/>
          <w:left w:val="none"/>
          <w:bottom w:val="none"/>
          <w:right w:val="none"/>
          <w:insideH w:val="none"/>
          <w:insideV w:val="none"/>
        </w:tblBorders>
        <w:tblLook w:val="04A0" w:firstRow="1" w:lastRow="0" w:firstColumn="1" w:lastColumn="0" w:noHBand="0" w:noVBand="1"/>
      </w:tblPr>
      <w:tblGrid>
        <w:gridCol w:w="9638"/>
      </w:tblGrid>
      <w:tr>
        <w:tc>
          <w:tcPr>
            <w:tcW w:w="9638" w:type="dxa"/>
            <w:shd w:val="clear" w:color="auto" w:fill="1F4E79"/>
            <w:tcMar>
              <w:top w:w="120" w:type="dxa"/>
              <w:left w:w="200" w:type="dxa"/>
              <w:bottom w:w="120" w:type="dxa"/>
              <w:right w:w="200" w:type="dxa"/>
            </w:tcMar>
          </w:tcPr>
          <w:p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24"/>
                <w:szCs w:val="24"/>
              </w:rPr>
              <w:t xml:space="preserve">Ⅱ  </w:t>
            </w: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24"/>
                <w:szCs w:val="24"/>
              </w:rPr>
              <w:t>공주의료원의 역할과 성과</w:t>
            </w:r>
          </w:p>
        </w:tc>
      </w:tr>
    </w:tbl>
    <w:p>
      <w:pPr>
        <w:spacing w:after="140"/>
      </w:pPr>
    </w:p>
    <w:p>
      <w:pPr>
        <w:spacing w:after="100" w:before="220"/>
      </w:pPr>
      <w:r>
        <w:rPr>
          <w:rFonts w:ascii="맑은 고딕" w:eastAsia="맑은 고딕" w:hAnsi="맑은 고딕" w:cs="맑은 고딕"/>
          <w:b/>
          <w:bCs/>
          <w:color w:val="1F4E79"/>
          <w:sz w:val="22"/>
          <w:szCs w:val="22"/>
        </w:rPr>
        <w:t>1. 충남 중부권 공공의료 거점기관으로서</w:t>
      </w:r>
    </w:p>
    <w:p>
      <w:pPr>
        <w:ind w:left="360" w:hanging="180"/>
        <w:spacing w:after="60" w:line="276"/>
      </w:pPr>
      <w:r>
        <w:rPr>
          <w:rFonts w:ascii="맑은 고딕" w:eastAsia="맑은 고딕" w:hAnsi="맑은 고딕" w:cs="맑은 고딕"/>
          <w:b/>
          <w:bCs/>
          <w:color w:val="1F4E79"/>
          <w:sz w:val="21"/>
          <w:szCs w:val="21"/>
        </w:rPr>
        <w:t xml:space="preserve">•  </w:t>
      </w:r>
      <w:r>
        <w:rPr>
          <w:rFonts w:ascii="맑은 고딕" w:eastAsia="맑은 고딕" w:hAnsi="맑은 고딕" w:cs="맑은 고딕"/>
          <w:sz w:val="21"/>
          <w:szCs w:val="21"/>
        </w:rPr>
        <w:t>지역응급 의료 수행</w:t>
      </w:r>
    </w:p>
    <w:p>
      <w:pPr>
        <w:ind w:left="360" w:hanging="180"/>
        <w:spacing w:after="60" w:line="276"/>
      </w:pPr>
      <w:r>
        <w:rPr>
          <w:rFonts w:ascii="맑은 고딕" w:eastAsia="맑은 고딕" w:hAnsi="맑은 고딕" w:cs="맑은 고딕"/>
          <w:b/>
          <w:bCs/>
          <w:color w:val="1F4E79"/>
          <w:sz w:val="21"/>
          <w:szCs w:val="21"/>
        </w:rPr>
        <w:t xml:space="preserve">•  </w:t>
      </w:r>
      <w:r>
        <w:rPr>
          <w:rFonts w:ascii="맑은 고딕" w:eastAsia="맑은 고딕" w:hAnsi="맑은 고딕" w:cs="맑은 고딕"/>
          <w:sz w:val="21"/>
          <w:szCs w:val="21"/>
        </w:rPr>
        <w:t>감염병 대응</w:t>
      </w:r>
    </w:p>
    <w:p>
      <w:pPr>
        <w:ind w:left="360" w:hanging="180"/>
        <w:spacing w:after="60" w:line="276"/>
      </w:pPr>
      <w:r>
        <w:rPr>
          <w:rFonts w:ascii="맑은 고딕" w:eastAsia="맑은 고딕" w:hAnsi="맑은 고딕" w:cs="맑은 고딕"/>
          <w:b/>
          <w:bCs/>
          <w:color w:val="1F4E79"/>
          <w:sz w:val="21"/>
          <w:szCs w:val="21"/>
        </w:rPr>
        <w:t xml:space="preserve">•  </w:t>
      </w:r>
      <w:r>
        <w:rPr>
          <w:rFonts w:ascii="맑은 고딕" w:eastAsia="맑은 고딕" w:hAnsi="맑은 고딕" w:cs="맑은 고딕"/>
          <w:sz w:val="21"/>
          <w:szCs w:val="21"/>
        </w:rPr>
        <w:t>재활 의료</w:t>
      </w:r>
    </w:p>
    <w:p>
      <w:pPr>
        <w:ind w:left="360" w:hanging="180"/>
        <w:spacing w:after="60" w:line="276"/>
      </w:pPr>
      <w:r>
        <w:rPr>
          <w:rFonts w:ascii="맑은 고딕" w:eastAsia="맑은 고딕" w:hAnsi="맑은 고딕" w:cs="맑은 고딕"/>
          <w:b/>
          <w:bCs/>
          <w:color w:val="1F4E79"/>
          <w:sz w:val="21"/>
          <w:szCs w:val="21"/>
        </w:rPr>
        <w:t xml:space="preserve">•  </w:t>
      </w:r>
      <w:r>
        <w:rPr>
          <w:rFonts w:ascii="맑은 고딕" w:eastAsia="맑은 고딕" w:hAnsi="맑은 고딕" w:cs="맑은 고딕"/>
          <w:sz w:val="21"/>
          <w:szCs w:val="21"/>
        </w:rPr>
        <w:t>의료취약계층 진료</w:t>
      </w:r>
    </w:p>
    <w:p>
      <w:pPr>
        <w:ind w:left="360" w:hanging="180"/>
        <w:spacing w:after="60" w:line="276"/>
      </w:pPr>
      <w:r>
        <w:rPr>
          <w:rFonts w:ascii="맑은 고딕" w:eastAsia="맑은 고딕" w:hAnsi="맑은 고딕" w:cs="맑은 고딕"/>
          <w:b/>
          <w:bCs/>
          <w:color w:val="1F4E79"/>
          <w:sz w:val="21"/>
          <w:szCs w:val="21"/>
        </w:rPr>
        <w:t xml:space="preserve">•  </w:t>
      </w:r>
      <w:r>
        <w:rPr>
          <w:rFonts w:ascii="맑은 고딕" w:eastAsia="맑은 고딕" w:hAnsi="맑은 고딕" w:cs="맑은 고딕"/>
          <w:sz w:val="21"/>
          <w:szCs w:val="21"/>
        </w:rPr>
        <w:t>지역완결형 필수 의료 제공</w:t>
      </w:r>
    </w:p>
    <w:p>
      <w:pPr>
        <w:spacing w:after="100" w:before="220"/>
      </w:pPr>
      <w:r>
        <w:rPr>
          <w:rFonts w:ascii="맑은 고딕" w:eastAsia="맑은 고딕" w:hAnsi="맑은 고딕" w:cs="맑은 고딕"/>
          <w:b/>
          <w:bCs/>
          <w:color w:val="1F4E79"/>
          <w:sz w:val="22"/>
          <w:szCs w:val="22"/>
        </w:rPr>
        <w:t>2. 주요 경영성과</w:t>
      </w:r>
    </w:p>
    <w:p>
      <w:pPr>
        <w:ind w:left="360" w:hanging="180"/>
        <w:spacing w:after="60" w:line="276"/>
      </w:pPr>
      <w:r>
        <w:rPr>
          <w:rFonts w:ascii="맑은 고딕" w:eastAsia="맑은 고딕" w:hAnsi="맑은 고딕" w:cs="맑은 고딕"/>
          <w:b/>
          <w:bCs/>
          <w:color w:val="1F4E79"/>
          <w:sz w:val="21"/>
          <w:szCs w:val="21"/>
        </w:rPr>
        <w:t xml:space="preserve">•  </w:t>
      </w:r>
      <w:r>
        <w:rPr>
          <w:rFonts w:ascii="맑은 고딕" w:eastAsia="맑은 고딕" w:hAnsi="맑은 고딕" w:cs="맑은 고딕"/>
          <w:b/>
          <w:bCs/>
          <w:sz w:val="21"/>
          <w:szCs w:val="21"/>
        </w:rPr>
        <w:t>병상가동률 지속 향상: 2022년 34.6% → 2026년 약 80% 이상</w:t>
      </w:r>
    </w:p>
    <w:p>
      <w:pPr>
        <w:ind w:left="360" w:hanging="180"/>
        <w:spacing w:after="60" w:line="276"/>
      </w:pPr>
      <w:r>
        <w:rPr>
          <w:rFonts w:ascii="맑은 고딕" w:eastAsia="맑은 고딕" w:hAnsi="맑은 고딕" w:cs="맑은 고딕"/>
          <w:b/>
          <w:bCs/>
          <w:color w:val="1F4E79"/>
          <w:sz w:val="21"/>
          <w:szCs w:val="21"/>
        </w:rPr>
        <w:t xml:space="preserve">•  </w:t>
      </w:r>
      <w:r>
        <w:rPr>
          <w:rFonts w:ascii="맑은 고딕" w:eastAsia="맑은 고딕" w:hAnsi="맑은 고딕" w:cs="맑은 고딕"/>
          <w:sz w:val="21"/>
          <w:szCs w:val="21"/>
        </w:rPr>
        <w:t>전국 35개 의료원 중 공주·홍성·서산의료원 병상가동률 5위 이내</w:t>
      </w:r>
    </w:p>
    <w:p>
      <w:pPr>
        <w:ind w:left="360" w:hanging="180"/>
        <w:spacing w:after="60" w:line="276"/>
      </w:pPr>
      <w:r>
        <w:rPr>
          <w:rFonts w:ascii="맑은 고딕" w:eastAsia="맑은 고딕" w:hAnsi="맑은 고딕" w:cs="맑은 고딕"/>
          <w:b/>
          <w:bCs/>
          <w:color w:val="1F4E79"/>
          <w:sz w:val="21"/>
          <w:szCs w:val="21"/>
        </w:rPr>
        <w:t xml:space="preserve">•  </w:t>
      </w:r>
      <w:r>
        <w:rPr>
          <w:rFonts w:ascii="맑은 고딕" w:eastAsia="맑은 고딕" w:hAnsi="맑은 고딕" w:cs="맑은 고딕"/>
          <w:sz w:val="21"/>
          <w:szCs w:val="21"/>
        </w:rPr>
        <w:t>의료서비스 실적 증가</w:t>
      </w:r>
    </w:p>
    <w:p>
      <w:pPr>
        <w:ind w:left="360" w:hanging="180"/>
        <w:spacing w:after="60" w:line="276"/>
      </w:pPr>
      <w:r>
        <w:rPr>
          <w:rFonts w:ascii="맑은 고딕" w:eastAsia="맑은 고딕" w:hAnsi="맑은 고딕" w:cs="맑은 고딕"/>
          <w:b/>
          <w:bCs/>
          <w:color w:val="1F4E79"/>
          <w:sz w:val="21"/>
          <w:szCs w:val="21"/>
        </w:rPr>
        <w:t xml:space="preserve">•  </w:t>
      </w:r>
      <w:r>
        <w:rPr>
          <w:rFonts w:ascii="맑은 고딕" w:eastAsia="맑은 고딕" w:hAnsi="맑은 고딕" w:cs="맑은 고딕"/>
          <w:b/>
          <w:bCs/>
          <w:sz w:val="21"/>
          <w:szCs w:val="21"/>
        </w:rPr>
        <w:t>운영평가 연속 A등급</w:t>
      </w:r>
    </w:p>
    <w:p>
      <w:pPr>
        <w:ind w:left="360" w:hanging="180"/>
        <w:spacing w:after="60" w:line="276"/>
      </w:pPr>
      <w:r>
        <w:rPr>
          <w:rFonts w:ascii="맑은 고딕" w:eastAsia="맑은 고딕" w:hAnsi="맑은 고딕" w:cs="맑은 고딕"/>
          <w:b/>
          <w:bCs/>
          <w:color w:val="1F4E79"/>
          <w:sz w:val="21"/>
          <w:szCs w:val="21"/>
        </w:rPr>
        <w:t xml:space="preserve">•  </w:t>
      </w:r>
      <w:r>
        <w:rPr>
          <w:rFonts w:ascii="맑은 고딕" w:eastAsia="맑은 고딕" w:hAnsi="맑은 고딕" w:cs="맑은 고딕"/>
          <w:sz w:val="21"/>
          <w:szCs w:val="21"/>
        </w:rPr>
        <w:t>의료질 평가 등 여러 외부 평가에서 우수</w:t>
      </w:r>
    </w:p>
    <w:p>
      <w:pPr>
        <w:ind w:left="360" w:hanging="180"/>
        <w:spacing w:after="60" w:line="276"/>
      </w:pPr>
      <w:r>
        <w:rPr>
          <w:rFonts w:ascii="맑은 고딕" w:eastAsia="맑은 고딕" w:hAnsi="맑은 고딕" w:cs="맑은 고딕"/>
          <w:b/>
          <w:bCs/>
          <w:color w:val="1F4E79"/>
          <w:sz w:val="21"/>
          <w:szCs w:val="21"/>
        </w:rPr>
        <w:t xml:space="preserve">•  </w:t>
      </w:r>
      <w:r>
        <w:rPr>
          <w:rFonts w:ascii="맑은 고딕" w:eastAsia="맑은 고딕" w:hAnsi="맑은 고딕" w:cs="맑은 고딕"/>
          <w:b/>
          <w:bCs/>
          <w:sz w:val="21"/>
          <w:szCs w:val="21"/>
        </w:rPr>
        <w:t>신포괄정책수가 우수기관 — 전국의료원 중 최상위 가산수가 획득</w:t>
      </w:r>
    </w:p>
    <w:p>
      <w:pPr>
        <w:ind w:left="360" w:hanging="180"/>
        <w:spacing w:after="60" w:line="276"/>
      </w:pPr>
      <w:r>
        <w:rPr>
          <w:rFonts w:ascii="맑은 고딕" w:eastAsia="맑은 고딕" w:hAnsi="맑은 고딕" w:cs="맑은 고딕"/>
          <w:b/>
          <w:bCs/>
          <w:color w:val="1F4E79"/>
          <w:sz w:val="21"/>
          <w:szCs w:val="21"/>
        </w:rPr>
        <w:t xml:space="preserve">•  </w:t>
      </w:r>
      <w:r>
        <w:rPr>
          <w:rFonts w:ascii="맑은 고딕" w:eastAsia="맑은 고딕" w:hAnsi="맑은 고딕" w:cs="맑은 고딕"/>
          <w:b/>
          <w:bCs/>
          <w:sz w:val="21"/>
          <w:szCs w:val="21"/>
        </w:rPr>
        <w:t>경영혁신 지속 추진 — 최근 3년간(코로나 이후) 지원금 평가에서 300병상 이하 의료원 중 전국 최고 지원금 획득</w:t>
      </w:r>
    </w:p>
    <w:p>
      <w:pPr>
        <w:spacing w:after="80"/>
      </w:pPr>
    </w:p>
    <w:p>
      <w:pPr>
        <w:spacing w:after="140" w:line="288"/>
      </w:pPr>
      <w:r>
        <w:rPr>
          <w:rFonts w:ascii="맑은 고딕" w:eastAsia="맑은 고딕" w:hAnsi="맑은 고딕" w:cs="맑은 고딕"/>
          <w:i/>
          <w:iCs/>
          <w:color w:val="555555"/>
          <w:sz w:val="21"/>
          <w:szCs w:val="21"/>
        </w:rPr>
        <w:t>그러나 공주의료원은 경영혁신을 지속적으로 추진해 의료서비스 수준과 수입은 향상되었으나, 공공의료 수행비용 증가로 인해 재정적자는 개선되지 못하고 있습니다.</w:t>
      </w:r>
    </w:p>
    <w:p>
      <w:pPr>
        <w:spacing w:after="200"/>
      </w:pPr>
    </w:p>
    <w:tbl>
      <w:tblPr>
        <w:tblW w:w="9638" w:type="dxa"/>
        <w:tblBorders>
          <w:top w:val="none"/>
          <w:left w:val="none"/>
          <w:bottom w:val="none"/>
          <w:right w:val="none"/>
          <w:insideH w:val="none"/>
          <w:insideV w:val="none"/>
        </w:tblBorders>
        <w:tblLook w:val="04A0" w:firstRow="1" w:lastRow="0" w:firstColumn="1" w:lastColumn="0" w:noHBand="0" w:noVBand="1"/>
      </w:tblPr>
      <w:tblGrid>
        <w:gridCol w:w="9638"/>
      </w:tblGrid>
      <w:tr>
        <w:tc>
          <w:tcPr>
            <w:tcW w:w="9638" w:type="dxa"/>
            <w:shd w:val="clear" w:color="auto" w:fill="1F4E79"/>
            <w:tcMar>
              <w:top w:w="120" w:type="dxa"/>
              <w:left w:w="200" w:type="dxa"/>
              <w:bottom w:w="120" w:type="dxa"/>
              <w:right w:w="200" w:type="dxa"/>
            </w:tcMar>
          </w:tcPr>
          <w:p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24"/>
                <w:szCs w:val="24"/>
              </w:rPr>
              <w:t xml:space="preserve">Ⅲ  </w:t>
            </w: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24"/>
                <w:szCs w:val="24"/>
              </w:rPr>
              <w:t>재정적자의 원인</w:t>
            </w:r>
          </w:p>
        </w:tc>
      </w:tr>
    </w:tbl>
    <w:p>
      <w:pPr>
        <w:spacing w:after="140"/>
      </w:pPr>
    </w:p>
    <w:p>
      <w:pPr>
        <w:spacing w:after="100" w:before="220"/>
      </w:pPr>
      <w:r>
        <w:rPr>
          <w:rFonts w:ascii="맑은 고딕" w:eastAsia="맑은 고딕" w:hAnsi="맑은 고딕" w:cs="맑은 고딕"/>
          <w:b/>
          <w:bCs/>
          <w:color w:val="1F4E79"/>
          <w:sz w:val="22"/>
          <w:szCs w:val="22"/>
        </w:rPr>
        <w:t>1. 구조적 적자</w:t>
      </w:r>
    </w:p>
    <w:p>
      <w:pPr>
        <w:spacing w:after="140" w:line="288"/>
      </w:pPr>
      <w:r>
        <w:rPr>
          <w:rFonts w:ascii="맑은 고딕" w:eastAsia="맑은 고딕" w:hAnsi="맑은 고딕" w:cs="맑은 고딕"/>
          <w:sz w:val="21"/>
          <w:szCs w:val="21"/>
        </w:rPr>
        <w:t>공공병원은 민간병원이 기피하는 분야를 담당합니다.</w:t>
      </w:r>
    </w:p>
    <w:p>
      <w:pPr>
        <w:ind w:left="360" w:hanging="180"/>
        <w:spacing w:after="60" w:line="276"/>
      </w:pPr>
      <w:r>
        <w:rPr>
          <w:rFonts w:ascii="맑은 고딕" w:eastAsia="맑은 고딕" w:hAnsi="맑은 고딕" w:cs="맑은 고딕"/>
          <w:b/>
          <w:bCs/>
          <w:color w:val="1F4E79"/>
          <w:sz w:val="21"/>
          <w:szCs w:val="21"/>
        </w:rPr>
        <w:t xml:space="preserve">•  </w:t>
      </w:r>
      <w:r>
        <w:rPr>
          <w:rFonts w:ascii="맑은 고딕" w:eastAsia="맑은 고딕" w:hAnsi="맑은 고딕" w:cs="맑은 고딕"/>
          <w:sz w:val="21"/>
          <w:szCs w:val="21"/>
        </w:rPr>
        <w:t>응급의료</w:t>
      </w:r>
    </w:p>
    <w:p>
      <w:pPr>
        <w:ind w:left="360" w:hanging="180"/>
        <w:spacing w:after="60" w:line="276"/>
      </w:pPr>
      <w:r>
        <w:rPr>
          <w:rFonts w:ascii="맑은 고딕" w:eastAsia="맑은 고딕" w:hAnsi="맑은 고딕" w:cs="맑은 고딕"/>
          <w:b/>
          <w:bCs/>
          <w:color w:val="1F4E79"/>
          <w:sz w:val="21"/>
          <w:szCs w:val="21"/>
        </w:rPr>
        <w:t xml:space="preserve">•  </w:t>
      </w:r>
      <w:r>
        <w:rPr>
          <w:rFonts w:ascii="맑은 고딕" w:eastAsia="맑은 고딕" w:hAnsi="맑은 고딕" w:cs="맑은 고딕"/>
          <w:sz w:val="21"/>
          <w:szCs w:val="21"/>
        </w:rPr>
        <w:t>감염병 대응</w:t>
      </w:r>
    </w:p>
    <w:p>
      <w:pPr>
        <w:ind w:left="360" w:hanging="180"/>
        <w:spacing w:after="60" w:line="276"/>
      </w:pPr>
      <w:r>
        <w:rPr>
          <w:rFonts w:ascii="맑은 고딕" w:eastAsia="맑은 고딕" w:hAnsi="맑은 고딕" w:cs="맑은 고딕"/>
          <w:b/>
          <w:bCs/>
          <w:color w:val="1F4E79"/>
          <w:sz w:val="21"/>
          <w:szCs w:val="21"/>
        </w:rPr>
        <w:t xml:space="preserve">•  </w:t>
      </w:r>
      <w:r>
        <w:rPr>
          <w:rFonts w:ascii="맑은 고딕" w:eastAsia="맑은 고딕" w:hAnsi="맑은 고딕" w:cs="맑은 고딕"/>
          <w:sz w:val="21"/>
          <w:szCs w:val="21"/>
        </w:rPr>
        <w:t>의료급여환자</w:t>
      </w:r>
    </w:p>
    <w:p>
      <w:pPr>
        <w:ind w:left="360" w:hanging="180"/>
        <w:spacing w:after="60" w:line="276"/>
      </w:pPr>
      <w:r>
        <w:rPr>
          <w:rFonts w:ascii="맑은 고딕" w:eastAsia="맑은 고딕" w:hAnsi="맑은 고딕" w:cs="맑은 고딕"/>
          <w:b/>
          <w:bCs/>
          <w:color w:val="1F4E79"/>
          <w:sz w:val="21"/>
          <w:szCs w:val="21"/>
        </w:rPr>
        <w:t xml:space="preserve">•  </w:t>
      </w:r>
      <w:r>
        <w:rPr>
          <w:rFonts w:ascii="맑은 고딕" w:eastAsia="맑은 고딕" w:hAnsi="맑은 고딕" w:cs="맑은 고딕"/>
          <w:sz w:val="21"/>
          <w:szCs w:val="21"/>
        </w:rPr>
        <w:t>취약계층 진료</w:t>
      </w:r>
    </w:p>
    <w:p>
      <w:pPr>
        <w:ind w:left="360" w:hanging="180"/>
        <w:spacing w:after="60" w:line="276"/>
      </w:pPr>
      <w:r>
        <w:rPr>
          <w:rFonts w:ascii="맑은 고딕" w:eastAsia="맑은 고딕" w:hAnsi="맑은 고딕" w:cs="맑은 고딕"/>
          <w:b/>
          <w:bCs/>
          <w:color w:val="1F4E79"/>
          <w:sz w:val="21"/>
          <w:szCs w:val="21"/>
        </w:rPr>
        <w:t xml:space="preserve">•  </w:t>
      </w:r>
      <w:r>
        <w:rPr>
          <w:rFonts w:ascii="맑은 고딕" w:eastAsia="맑은 고딕" w:hAnsi="맑은 고딕" w:cs="맑은 고딕"/>
          <w:sz w:val="21"/>
          <w:szCs w:val="21"/>
        </w:rPr>
        <w:t>필수의료</w:t>
      </w:r>
    </w:p>
    <w:p>
      <w:pPr>
        <w:ind w:left="360" w:hanging="180"/>
        <w:spacing w:after="60" w:line="276"/>
      </w:pPr>
      <w:r>
        <w:rPr>
          <w:rFonts w:ascii="맑은 고딕" w:eastAsia="맑은 고딕" w:hAnsi="맑은 고딕" w:cs="맑은 고딕"/>
          <w:b/>
          <w:bCs/>
          <w:color w:val="1F4E79"/>
          <w:sz w:val="21"/>
          <w:szCs w:val="21"/>
        </w:rPr>
        <w:t xml:space="preserve">•  </w:t>
      </w:r>
      <w:r>
        <w:rPr>
          <w:rFonts w:ascii="맑은 고딕" w:eastAsia="맑은 고딕" w:hAnsi="맑은 고딕" w:cs="맑은 고딕"/>
          <w:sz w:val="21"/>
          <w:szCs w:val="21"/>
        </w:rPr>
        <w:t>정부의 정책 수행 : 코로나 사태 담당 등</w:t>
      </w:r>
    </w:p>
    <w:p>
      <w:pPr>
        <w:spacing w:after="140" w:line="288"/>
      </w:pPr>
      <w:r>
        <w:rPr>
          <w:rFonts w:ascii="맑은 고딕" w:eastAsia="맑은 고딕" w:hAnsi="맑은 고딕" w:cs="맑은 고딕"/>
          <w:i/>
          <w:iCs/>
          <w:color w:val="555555"/>
          <w:sz w:val="21"/>
          <w:szCs w:val="21"/>
        </w:rPr>
        <w:t>이러한 기능은 공익적 가치가 높지만 수익성이 낮아 구조적인 적자가 발생합니다.</w:t>
      </w:r>
    </w:p>
    <w:p>
      <w:pPr>
        <w:spacing w:after="100" w:before="220"/>
      </w:pPr>
      <w:r>
        <w:rPr>
          <w:rFonts w:ascii="맑은 고딕" w:eastAsia="맑은 고딕" w:hAnsi="맑은 고딕" w:cs="맑은 고딕"/>
          <w:b/>
          <w:bCs/>
          <w:color w:val="1F4E79"/>
          <w:sz w:val="22"/>
          <w:szCs w:val="22"/>
        </w:rPr>
        <w:t>2. 정책적 적자</w:t>
      </w:r>
    </w:p>
    <w:p>
      <w:pPr>
        <w:spacing w:after="140" w:line="288"/>
      </w:pPr>
      <w:r>
        <w:rPr>
          <w:rFonts w:ascii="맑은 고딕" w:eastAsia="맑은 고딕" w:hAnsi="맑은 고딕" w:cs="맑은 고딕"/>
          <w:sz w:val="21"/>
          <w:szCs w:val="21"/>
        </w:rPr>
        <w:t>공주의료원의 적자는 다음과 같은 정책적 요인에서 발생합니다.</w:t>
      </w:r>
    </w:p>
    <w:p>
      <w:pPr>
        <w:ind w:left="360" w:hanging="180"/>
        <w:spacing w:after="60" w:line="276"/>
      </w:pPr>
      <w:r>
        <w:rPr>
          <w:rFonts w:ascii="맑은 고딕" w:eastAsia="맑은 고딕" w:hAnsi="맑은 고딕" w:cs="맑은 고딕"/>
          <w:b/>
          <w:bCs/>
          <w:color w:val="1F4E79"/>
          <w:sz w:val="21"/>
          <w:szCs w:val="21"/>
        </w:rPr>
        <w:t xml:space="preserve">•  </w:t>
      </w:r>
      <w:r>
        <w:rPr>
          <w:rFonts w:ascii="맑은 고딕" w:eastAsia="맑은 고딕" w:hAnsi="맑은 고딕" w:cs="맑은 고딕"/>
          <w:sz w:val="21"/>
          <w:szCs w:val="21"/>
        </w:rPr>
        <w:t>건강보험 저수가</w:t>
      </w:r>
    </w:p>
    <w:p>
      <w:pPr>
        <w:ind w:left="360" w:hanging="180"/>
        <w:spacing w:after="60" w:line="276"/>
      </w:pPr>
      <w:r>
        <w:rPr>
          <w:rFonts w:ascii="맑은 고딕" w:eastAsia="맑은 고딕" w:hAnsi="맑은 고딕" w:cs="맑은 고딕"/>
          <w:b/>
          <w:bCs/>
          <w:color w:val="1F4E79"/>
          <w:sz w:val="21"/>
          <w:szCs w:val="21"/>
        </w:rPr>
        <w:t xml:space="preserve">•  </w:t>
      </w:r>
      <w:r>
        <w:rPr>
          <w:rFonts w:ascii="맑은 고딕" w:eastAsia="맑은 고딕" w:hAnsi="맑은 고딕" w:cs="맑은 고딕"/>
          <w:sz w:val="21"/>
          <w:szCs w:val="21"/>
        </w:rPr>
        <w:t>신포괄수가제 한계</w:t>
      </w:r>
    </w:p>
    <w:p>
      <w:pPr>
        <w:ind w:left="360" w:hanging="180"/>
        <w:spacing w:after="60" w:line="276"/>
      </w:pPr>
      <w:r>
        <w:rPr>
          <w:rFonts w:ascii="맑은 고딕" w:eastAsia="맑은 고딕" w:hAnsi="맑은 고딕" w:cs="맑은 고딕"/>
          <w:b/>
          <w:bCs/>
          <w:color w:val="1F4E79"/>
          <w:sz w:val="21"/>
          <w:szCs w:val="21"/>
        </w:rPr>
        <w:t xml:space="preserve">•  </w:t>
      </w:r>
      <w:r>
        <w:rPr>
          <w:rFonts w:ascii="맑은 고딕" w:eastAsia="맑은 고딕" w:hAnsi="맑은 고딕" w:cs="맑은 고딕"/>
          <w:sz w:val="21"/>
          <w:szCs w:val="21"/>
        </w:rPr>
        <w:t>의료인력 확보 비용 증가</w:t>
      </w:r>
    </w:p>
    <w:p>
      <w:pPr>
        <w:ind w:left="360" w:hanging="180"/>
        <w:spacing w:after="60" w:line="276"/>
      </w:pPr>
      <w:r>
        <w:rPr>
          <w:rFonts w:ascii="맑은 고딕" w:eastAsia="맑은 고딕" w:hAnsi="맑은 고딕" w:cs="맑은 고딕"/>
          <w:b/>
          <w:bCs/>
          <w:color w:val="1F4E79"/>
          <w:sz w:val="21"/>
          <w:szCs w:val="21"/>
        </w:rPr>
        <w:t xml:space="preserve">•  </w:t>
      </w:r>
      <w:r>
        <w:rPr>
          <w:rFonts w:ascii="맑은 고딕" w:eastAsia="맑은 고딕" w:hAnsi="맑은 고딕" w:cs="맑은 고딕"/>
          <w:sz w:val="21"/>
          <w:szCs w:val="21"/>
        </w:rPr>
        <w:t>공공정책사업 강제 수행</w:t>
      </w:r>
    </w:p>
    <w:p>
      <w:pPr>
        <w:ind w:left="360" w:hanging="180"/>
        <w:spacing w:after="60" w:line="276"/>
      </w:pPr>
      <w:r>
        <w:rPr>
          <w:rFonts w:ascii="맑은 고딕" w:eastAsia="맑은 고딕" w:hAnsi="맑은 고딕" w:cs="맑은 고딕"/>
          <w:b/>
          <w:bCs/>
          <w:color w:val="1F4E79"/>
          <w:sz w:val="21"/>
          <w:szCs w:val="21"/>
        </w:rPr>
        <w:t xml:space="preserve">•  </w:t>
      </w:r>
      <w:r>
        <w:rPr>
          <w:rFonts w:ascii="맑은 고딕" w:eastAsia="맑은 고딕" w:hAnsi="맑은 고딕" w:cs="맑은 고딕"/>
          <w:sz w:val="21"/>
          <w:szCs w:val="21"/>
        </w:rPr>
        <w:t>지역 필수 의료 유지비용</w:t>
      </w:r>
    </w:p>
    <w:p>
      <w:pPr>
        <w:spacing w:after="140" w:line="288"/>
      </w:pPr>
      <w:r>
        <w:rPr>
          <w:rFonts w:ascii="맑은 고딕" w:eastAsia="맑은 고딕" w:hAnsi="맑은 고딕" w:cs="맑은 고딕"/>
          <w:i/>
          <w:iCs/>
          <w:color w:val="555555"/>
          <w:sz w:val="21"/>
          <w:szCs w:val="21"/>
        </w:rPr>
        <w:t>이는 개별 의료원의 경영 노력만으로 해결하기 어려운 영역입니다.</w:t>
      </w:r>
    </w:p>
    <w:p>
      <w:pPr>
        <w:spacing w:after="100" w:before="220"/>
      </w:pPr>
      <w:r>
        <w:rPr>
          <w:lang w:eastAsia="ko-KR"/>
          <w:rFonts w:ascii="맑은 고딕" w:eastAsia="맑은 고딕" w:hAnsi="맑은 고딕" w:cs="맑은 고딕"/>
          <w:b/>
          <w:bCs/>
          <w:color w:val="1F4E79"/>
          <w:sz w:val="22"/>
          <w:szCs w:val="22"/>
          <w:rtl w:val="off"/>
        </w:rPr>
        <w:t xml:space="preserve">3. 경영적 적자  </w:t>
      </w:r>
    </w:p>
    <w:tbl>
      <w:tblPr>
        <w:tblW w:w="9638" w:type="dxa"/>
        <w:tblBorders>
          <w:top w:val="single" w:sz="4" w:space="0" w:color="C55A11"/>
          <w:left w:val="single" w:sz="4" w:space="0" w:color="C55A11"/>
          <w:bottom w:val="single" w:sz="4" w:space="0" w:color="C55A11"/>
          <w:right w:val="single" w:sz="4" w:space="0" w:color="C55A11"/>
          <w:insideH w:val="none"/>
          <w:insideV w:val="none"/>
        </w:tblBorders>
        <w:tblLook w:val="04A0" w:firstRow="1" w:lastRow="0" w:firstColumn="1" w:lastColumn="0" w:noHBand="0" w:noVBand="1"/>
      </w:tblPr>
      <w:tblGrid>
        <w:gridCol w:w="9638"/>
      </w:tblGrid>
      <w:tr>
        <w:tc>
          <w:tcPr>
            <w:tcW w:w="9638" w:type="dxa"/>
            <w:shd w:val="clear" w:color="auto" w:fill="FCE4D6"/>
            <w:tcMar>
              <w:top w:w="160" w:type="dxa"/>
              <w:left w:w="240" w:type="dxa"/>
              <w:bottom w:w="160" w:type="dxa"/>
              <w:right w:w="240" w:type="dxa"/>
            </w:tcMar>
          </w:tcPr>
          <w:p>
            <w:pPr>
              <w:ind w:left="0" w:right="0" w:firstLine="0"/>
              <w:jc w:val="left"/>
              <w:spacing w:after="0" w:line="216"/>
              <w:rPr>
                <w:lang w:eastAsia="ko-KR"/>
                <w:rFonts w:ascii="맑은 고딕" w:eastAsia="맑은 고딕" w:hAnsi="맑은 고딕" w:cs="맑은 고딕" w:hint="eastAsia"/>
                <w:b/>
                <w:bCs/>
                <w:color w:val="C55A11"/>
                <w:sz w:val="20"/>
                <w:szCs w:val="20"/>
                <w:rtl w:val="off"/>
              </w:rPr>
            </w:pPr>
            <w:r>
              <w:rPr>
                <w:lang w:eastAsia="ko-KR"/>
                <w:rFonts w:ascii="맑은 고딕" w:eastAsia="맑은 고딕" w:hAnsi="맑은 고딕" w:cs="맑은 고딕"/>
                <w:b/>
                <w:bCs/>
                <w:color w:val="C55A11"/>
                <w:sz w:val="21"/>
                <w:szCs w:val="21"/>
                <w:rtl w:val="off"/>
              </w:rPr>
              <w:t xml:space="preserve">- </w:t>
            </w:r>
            <w:r>
              <w:rPr>
                <w:rFonts w:ascii="맑은 고딕" w:eastAsia="맑은 고딕" w:hAnsi="맑은 고딕" w:cs="맑은 고딕"/>
                <w:b/>
                <w:bCs/>
                <w:color w:val="C55A11"/>
                <w:sz w:val="21"/>
                <w:szCs w:val="21"/>
              </w:rPr>
              <w:t>경영지표(병상가동률·운영평가·가산수가 등)는 지속적으로 개선 중</w:t>
            </w:r>
          </w:p>
          <w:p>
            <w:pPr>
              <w:ind w:left="0" w:right="0" w:firstLine="0"/>
              <w:jc w:val="left"/>
              <w:spacing w:after="0" w:line="216"/>
              <w:rPr>
                <w:lang w:eastAsia="ko-KR"/>
                <w:rFonts w:ascii="맑은 고딕" w:eastAsia="맑은 고딕" w:hAnsi="맑은 고딕" w:cs="맑은 고딕" w:hint="eastAsia"/>
                <w:b/>
                <w:bCs/>
                <w:color w:val="7A7CC4"/>
                <w:sz w:val="16"/>
                <w:szCs w:val="16"/>
                <w:rtl w:val="off"/>
              </w:rPr>
            </w:pPr>
            <w:r>
              <w:rPr>
                <w:lang w:eastAsia="ko-KR"/>
                <w:rFonts w:ascii="맑은 고딕" w:eastAsia="맑은 고딕" w:hAnsi="맑은 고딕" w:cs="맑은 고딕"/>
                <w:b/>
                <w:bCs/>
                <w:color w:val="C55A11"/>
                <w:sz w:val="16"/>
                <w:szCs w:val="16"/>
                <w:rtl w:val="off"/>
              </w:rPr>
              <w:t xml:space="preserve"> </w:t>
            </w:r>
            <w:r>
              <w:rPr>
                <w:lang w:eastAsia="ko-KR"/>
                <w:rFonts w:ascii="맑은 고딕" w:eastAsia="맑은 고딕" w:hAnsi="맑은 고딕" w:cs="맑은 고딕"/>
                <w:b/>
                <w:bCs/>
                <w:color w:val="7A7CC4"/>
                <w:sz w:val="16"/>
                <w:szCs w:val="16"/>
                <w:rtl w:val="off"/>
              </w:rPr>
              <w:t>&lt; 참고사항&gt;</w:t>
            </w:r>
          </w:p>
          <w:p>
            <w:pPr>
              <w:ind w:left="0" w:right="0" w:firstLine="0"/>
              <w:jc w:val="left"/>
              <w:spacing w:after="0" w:line="216"/>
              <w:rPr>
                <w:lang w:eastAsia="ko-KR"/>
                <w:rFonts w:ascii="맑은 고딕" w:eastAsia="맑은 고딕" w:hAnsi="맑은 고딕" w:cs="맑은 고딕" w:hint="eastAsia"/>
                <w:b/>
                <w:bCs/>
                <w:color w:val="7A7CC4"/>
                <w:sz w:val="16"/>
                <w:szCs w:val="16"/>
                <w:rtl w:val="off"/>
              </w:rPr>
            </w:pPr>
            <w:r>
              <w:rPr>
                <w:lang w:eastAsia="ko-KR"/>
                <w:rFonts w:ascii="맑은 고딕" w:eastAsia="맑은 고딕" w:hAnsi="맑은 고딕" w:cs="맑은 고딕"/>
                <w:b/>
                <w:bCs/>
                <w:color w:val="7A7CC4"/>
                <w:sz w:val="16"/>
                <w:szCs w:val="16"/>
                <w:rtl w:val="off"/>
              </w:rPr>
              <w:t xml:space="preserve"> - 한국 표준병원인 건강보험공단 일산병원 의업수지 비율 85%, 서울대병원 의업수지비율 90%, 국립중앙의료원 60.9%</w:t>
            </w:r>
          </w:p>
          <w:p>
            <w:pPr>
              <w:ind w:left="0" w:right="0" w:firstLine="0"/>
              <w:jc w:val="left"/>
              <w:spacing w:after="0" w:line="216"/>
            </w:pPr>
            <w:r>
              <w:rPr>
                <w:lang w:eastAsia="ko-KR"/>
                <w:rFonts w:ascii="맑은 고딕" w:eastAsia="맑은 고딕" w:hAnsi="맑은 고딕" w:cs="맑은 고딕"/>
                <w:b/>
                <w:bCs/>
                <w:color w:val="7A7CC4"/>
                <w:sz w:val="16"/>
                <w:szCs w:val="16"/>
                <w:rtl w:val="off"/>
              </w:rPr>
              <w:t xml:space="preserve"> → 적자는 지방의료원 문제만이 아니라 재정지원을 하는 지자체 및 국가기관에 따라 손익이 달라지고 있습니다. </w:t>
            </w:r>
          </w:p>
        </w:tc>
      </w:tr>
    </w:tbl>
    <w:p>
      <w:pPr>
        <w:spacing w:after="200"/>
      </w:pPr>
    </w:p>
    <w:tbl>
      <w:tblPr>
        <w:tblW w:w="9638" w:type="dxa"/>
        <w:tblBorders>
          <w:top w:val="none"/>
          <w:left w:val="none"/>
          <w:bottom w:val="none"/>
          <w:right w:val="none"/>
          <w:insideH w:val="none"/>
          <w:insideV w:val="none"/>
        </w:tblBorders>
        <w:tblLook w:val="04A0" w:firstRow="1" w:lastRow="0" w:firstColumn="1" w:lastColumn="0" w:noHBand="0" w:noVBand="1"/>
      </w:tblPr>
      <w:tblGrid>
        <w:gridCol w:w="9638"/>
      </w:tblGrid>
      <w:tr>
        <w:tc>
          <w:tcPr>
            <w:tcW w:w="9638" w:type="dxa"/>
            <w:shd w:val="clear" w:color="auto" w:fill="1F4E79"/>
            <w:tcMar>
              <w:top w:w="120" w:type="dxa"/>
              <w:left w:w="200" w:type="dxa"/>
              <w:bottom w:w="120" w:type="dxa"/>
              <w:right w:w="200" w:type="dxa"/>
            </w:tcMar>
          </w:tcPr>
          <w:p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24"/>
                <w:szCs w:val="24"/>
              </w:rPr>
              <w:t xml:space="preserve">Ⅳ  </w:t>
            </w: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24"/>
                <w:szCs w:val="24"/>
              </w:rPr>
              <w:t>타 시·도 지원현황</w:t>
            </w:r>
          </w:p>
        </w:tc>
      </w:tr>
    </w:tbl>
    <w:p>
      <w:pPr>
        <w:ind w:left="0" w:right="0" w:firstLine="0"/>
        <w:jc w:val="left"/>
        <w:spacing w:after="0" w:line="204"/>
      </w:pPr>
    </w:p>
    <w:p>
      <w:pPr>
        <w:spacing w:after="140" w:line="288"/>
      </w:pPr>
      <w:r>
        <w:rPr>
          <w:rFonts w:ascii="맑은 고딕" w:eastAsia="맑은 고딕" w:hAnsi="맑은 고딕" w:cs="맑은 고딕"/>
          <w:sz w:val="21"/>
          <w:szCs w:val="21"/>
        </w:rPr>
        <w:t>다수의 지방자치단체는 지방의료원의 공공의료 기능을 유지하기 위해 운영비 지원, 정책적 적자 보전, 채무지원 등을 시행하고 있습니다. (자료 : 의료원연합회)</w:t>
      </w:r>
    </w:p>
    <w:p>
      <w:pPr>
        <w:ind w:left="0" w:right="0" w:firstLine="0"/>
        <w:jc w:val="left"/>
        <w:spacing w:after="0" w:line="168"/>
      </w:pPr>
    </w:p>
    <w:tbl>
      <w:tblPr>
        <w:tblW w:w="9638" w:type="dxa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4A0" w:firstRow="1" w:lastRow="0" w:firstColumn="1" w:lastColumn="0" w:noHBand="0" w:noVBand="1"/>
      </w:tblPr>
      <w:tblGrid>
        <w:gridCol w:w="2400"/>
        <w:gridCol w:w="7238"/>
      </w:tblGrid>
      <w:tr>
        <w:trPr>
          <w:tblHeader/>
        </w:trPr>
        <w:tc>
          <w:tcPr>
            <w:tcW w:w="2400" w:type="dxa"/>
            <w:shd w:val="clear" w:color="auto" w:fill="1F4E79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20"/>
                <w:szCs w:val="20"/>
              </w:rPr>
              <w:t>지자체</w:t>
            </w:r>
          </w:p>
        </w:tc>
        <w:tc>
          <w:tcPr>
            <w:tcW w:w="7238" w:type="dxa"/>
            <w:shd w:val="clear" w:color="auto" w:fill="1F4E79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>
            <w:pPr>
              <w:jc w:val="left"/>
            </w:pP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20"/>
                <w:szCs w:val="20"/>
              </w:rPr>
              <w:t>지원 내용</w:t>
            </w:r>
          </w:p>
        </w:tc>
      </w:tr>
      <w:tr>
        <w:tc>
          <w:tcPr>
            <w:tcW w:w="240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>
            <w:pPr>
              <w:jc w:val="left"/>
            </w:pPr>
            <w:r>
              <w:rPr>
                <w:rFonts w:ascii="맑은 고딕" w:eastAsia="맑은 고딕" w:hAnsi="맑은 고딕" w:cs="맑은 고딕"/>
                <w:b w:val="0"/>
                <w:bCs w:val="0"/>
                <w:color w:val="1F1F1F"/>
                <w:sz w:val="20"/>
                <w:szCs w:val="20"/>
              </w:rPr>
              <w:t>서울특별시</w:t>
            </w:r>
          </w:p>
        </w:tc>
        <w:tc>
          <w:tcPr>
            <w:tcW w:w="7238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>
            <w:pPr>
              <w:jc w:val="left"/>
            </w:pPr>
            <w:r>
              <w:rPr>
                <w:rFonts w:ascii="맑은 고딕" w:eastAsia="맑은 고딕" w:hAnsi="맑은 고딕" w:cs="맑은 고딕"/>
                <w:b w:val="0"/>
                <w:bCs w:val="0"/>
                <w:color w:val="1F1F1F"/>
                <w:sz w:val="20"/>
                <w:szCs w:val="20"/>
              </w:rPr>
              <w:t>연평균 약 170억 원 운영비 지원</w:t>
            </w:r>
          </w:p>
        </w:tc>
      </w:tr>
      <w:tr>
        <w:tc>
          <w:tcPr>
            <w:tcW w:w="240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>
            <w:pPr>
              <w:jc w:val="left"/>
            </w:pPr>
            <w:r>
              <w:rPr>
                <w:rFonts w:ascii="맑은 고딕" w:eastAsia="맑은 고딕" w:hAnsi="맑은 고딕" w:cs="맑은 고딕"/>
                <w:b w:val="0"/>
                <w:bCs w:val="0"/>
                <w:color w:val="1F1F1F"/>
                <w:sz w:val="20"/>
                <w:szCs w:val="20"/>
              </w:rPr>
              <w:t>경기도</w:t>
            </w:r>
          </w:p>
        </w:tc>
        <w:tc>
          <w:tcPr>
            <w:tcW w:w="7238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>
            <w:pPr>
              <w:ind w:left="0" w:right="0" w:firstLine="0"/>
              <w:jc w:val="left"/>
              <w:spacing w:line="168"/>
            </w:pPr>
            <w:r>
              <w:rPr>
                <w:rFonts w:ascii="맑은 고딕" w:eastAsia="맑은 고딕" w:hAnsi="맑은 고딕" w:cs="맑은 고딕"/>
                <w:b w:val="0"/>
                <w:bCs w:val="0"/>
                <w:color w:val="1F1F1F"/>
                <w:sz w:val="20"/>
                <w:szCs w:val="20"/>
              </w:rPr>
              <w:t>연평균 약 50억 원 운영비 지원 + 4년간 6개 의료원 누적부채 300억 원 이상 전액 해결(퇴직급여충당금 지원 등)</w:t>
            </w:r>
          </w:p>
        </w:tc>
      </w:tr>
      <w:tr>
        <w:tc>
          <w:tcPr>
            <w:tcW w:w="240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>
            <w:pPr>
              <w:jc w:val="left"/>
            </w:pPr>
            <w:r>
              <w:rPr>
                <w:rFonts w:ascii="맑은 고딕" w:eastAsia="맑은 고딕" w:hAnsi="맑은 고딕" w:cs="맑은 고딕"/>
                <w:b w:val="0"/>
                <w:bCs w:val="0"/>
                <w:color w:val="1F1F1F"/>
                <w:sz w:val="20"/>
                <w:szCs w:val="20"/>
              </w:rPr>
              <w:t>부산광역시</w:t>
            </w:r>
          </w:p>
        </w:tc>
        <w:tc>
          <w:tcPr>
            <w:tcW w:w="7238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>
            <w:pPr>
              <w:jc w:val="left"/>
            </w:pPr>
            <w:r>
              <w:rPr>
                <w:rFonts w:ascii="맑은 고딕" w:eastAsia="맑은 고딕" w:hAnsi="맑은 고딕" w:cs="맑은 고딕"/>
                <w:b w:val="0"/>
                <w:bCs w:val="0"/>
                <w:color w:val="1F1F1F"/>
                <w:sz w:val="20"/>
                <w:szCs w:val="20"/>
              </w:rPr>
              <w:t>연평균 약 65억 원 운영비 지원</w:t>
            </w:r>
          </w:p>
        </w:tc>
      </w:tr>
      <w:tr>
        <w:tc>
          <w:tcPr>
            <w:tcW w:w="240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>
            <w:pPr>
              <w:jc w:val="left"/>
            </w:pPr>
            <w:r>
              <w:rPr>
                <w:rFonts w:ascii="맑은 고딕" w:eastAsia="맑은 고딕" w:hAnsi="맑은 고딕" w:cs="맑은 고딕"/>
                <w:b w:val="0"/>
                <w:bCs w:val="0"/>
                <w:color w:val="1F1F1F"/>
                <w:sz w:val="20"/>
                <w:szCs w:val="20"/>
              </w:rPr>
              <w:t>성남시</w:t>
            </w:r>
          </w:p>
        </w:tc>
        <w:tc>
          <w:tcPr>
            <w:tcW w:w="7238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>
            <w:pPr>
              <w:jc w:val="left"/>
            </w:pPr>
            <w:r>
              <w:rPr>
                <w:rFonts w:ascii="맑은 고딕" w:eastAsia="맑은 고딕" w:hAnsi="맑은 고딕" w:cs="맑은 고딕"/>
                <w:b w:val="0"/>
                <w:bCs w:val="0"/>
                <w:color w:val="1F1F1F"/>
                <w:sz w:val="20"/>
                <w:szCs w:val="20"/>
              </w:rPr>
              <w:t>2025년 500억 원 지원, 매년 200~300억 원 지원</w:t>
            </w:r>
          </w:p>
        </w:tc>
      </w:tr>
      <w:tr>
        <w:tc>
          <w:tcPr>
            <w:tcW w:w="240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>
            <w:pPr>
              <w:jc w:val="left"/>
            </w:pPr>
            <w:r>
              <w:rPr>
                <w:rFonts w:ascii="맑은 고딕" w:eastAsia="맑은 고딕" w:hAnsi="맑은 고딕" w:cs="맑은 고딕"/>
                <w:b w:val="0"/>
                <w:bCs w:val="0"/>
                <w:color w:val="1F1F1F"/>
                <w:sz w:val="20"/>
                <w:szCs w:val="20"/>
              </w:rPr>
              <w:t>인천광역시</w:t>
            </w:r>
          </w:p>
        </w:tc>
        <w:tc>
          <w:tcPr>
            <w:tcW w:w="7238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>
            <w:pPr>
              <w:jc w:val="left"/>
            </w:pPr>
            <w:r>
              <w:rPr>
                <w:rFonts w:ascii="맑은 고딕" w:eastAsia="맑은 고딕" w:hAnsi="맑은 고딕" w:cs="맑은 고딕"/>
                <w:b w:val="0"/>
                <w:bCs w:val="0"/>
                <w:color w:val="1F1F1F"/>
                <w:sz w:val="20"/>
                <w:szCs w:val="20"/>
              </w:rPr>
              <w:t>연평균 약 95억 원 운영비 지원</w:t>
            </w:r>
          </w:p>
        </w:tc>
      </w:tr>
      <w:tr>
        <w:tc>
          <w:tcPr>
            <w:tcW w:w="240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>
            <w:pPr>
              <w:jc w:val="left"/>
            </w:pPr>
            <w:r>
              <w:rPr>
                <w:rFonts w:ascii="맑은 고딕" w:eastAsia="맑은 고딕" w:hAnsi="맑은 고딕" w:cs="맑은 고딕"/>
                <w:b w:val="0"/>
                <w:bCs w:val="0"/>
                <w:color w:val="1F1F1F"/>
                <w:sz w:val="20"/>
                <w:szCs w:val="20"/>
              </w:rPr>
              <w:t>제주도</w:t>
            </w:r>
          </w:p>
        </w:tc>
        <w:tc>
          <w:tcPr>
            <w:tcW w:w="7238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>
            <w:pPr>
              <w:jc w:val="left"/>
            </w:pPr>
            <w:r>
              <w:rPr>
                <w:rFonts w:ascii="맑은 고딕" w:eastAsia="맑은 고딕" w:hAnsi="맑은 고딕" w:cs="맑은 고딕"/>
                <w:b w:val="0"/>
                <w:bCs w:val="0"/>
                <w:color w:val="1F1F1F"/>
                <w:sz w:val="20"/>
                <w:szCs w:val="20"/>
              </w:rPr>
              <w:t>연 25~35억 원 운영비 지원</w:t>
            </w:r>
          </w:p>
        </w:tc>
      </w:tr>
      <w:tr>
        <w:tc>
          <w:tcPr>
            <w:tcW w:w="240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>
            <w:pPr>
              <w:jc w:val="left"/>
            </w:pPr>
            <w:r>
              <w:rPr>
                <w:rFonts w:ascii="맑은 고딕" w:eastAsia="맑은 고딕" w:hAnsi="맑은 고딕" w:cs="맑은 고딕"/>
                <w:b w:val="0"/>
                <w:bCs w:val="0"/>
                <w:color w:val="1F1F1F"/>
                <w:sz w:val="20"/>
                <w:szCs w:val="20"/>
              </w:rPr>
              <w:t>충청북도</w:t>
            </w:r>
          </w:p>
        </w:tc>
        <w:tc>
          <w:tcPr>
            <w:tcW w:w="7238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>
            <w:pPr>
              <w:jc w:val="left"/>
            </w:pPr>
            <w:r>
              <w:rPr>
                <w:rFonts w:ascii="맑은 고딕" w:eastAsia="맑은 고딕" w:hAnsi="맑은 고딕" w:cs="맑은 고딕"/>
                <w:b w:val="0"/>
                <w:bCs w:val="0"/>
                <w:color w:val="1F1F1F"/>
                <w:sz w:val="20"/>
                <w:szCs w:val="20"/>
              </w:rPr>
              <w:t>지역개발기금 지원 — 충주 2년간 약 100억 원, 청주 약 200억 원</w:t>
            </w:r>
          </w:p>
        </w:tc>
      </w:tr>
      <w:tr>
        <w:tc>
          <w:tcPr>
            <w:tcW w:w="240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>
            <w:pPr>
              <w:jc w:val="left"/>
            </w:pPr>
            <w:r>
              <w:rPr>
                <w:rFonts w:ascii="맑은 고딕" w:eastAsia="맑은 고딕" w:hAnsi="맑은 고딕" w:cs="맑은 고딕"/>
                <w:b w:val="0"/>
                <w:bCs w:val="0"/>
                <w:color w:val="1F1F1F"/>
                <w:sz w:val="20"/>
                <w:szCs w:val="20"/>
              </w:rPr>
              <w:t>전북특별자치도</w:t>
            </w:r>
          </w:p>
        </w:tc>
        <w:tc>
          <w:tcPr>
            <w:tcW w:w="7238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>
            <w:pPr>
              <w:jc w:val="left"/>
            </w:pPr>
            <w:r>
              <w:rPr>
                <w:rFonts w:ascii="맑은 고딕" w:eastAsia="맑은 고딕" w:hAnsi="맑은 고딕" w:cs="맑은 고딕"/>
                <w:b w:val="0"/>
                <w:bCs w:val="0"/>
                <w:color w:val="1F1F1F"/>
                <w:sz w:val="20"/>
                <w:szCs w:val="20"/>
              </w:rPr>
              <w:t>남원·진안 연 30억 원 내외 운영비 지원</w:t>
            </w:r>
          </w:p>
        </w:tc>
      </w:tr>
      <w:tr>
        <w:tc>
          <w:tcPr>
            <w:tcW w:w="2400" w:type="dxa"/>
            <w:shd w:val="clear" w:color="auto" w:fill="FCE4D6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>
            <w:pPr>
              <w:jc w:val="left"/>
            </w:pPr>
            <w:r>
              <w:rPr>
                <w:rFonts w:ascii="맑은 고딕" w:eastAsia="맑은 고딕" w:hAnsi="맑은 고딕" w:cs="맑은 고딕"/>
                <w:b/>
                <w:bCs/>
                <w:color w:val="C55A11"/>
                <w:sz w:val="20"/>
                <w:szCs w:val="20"/>
              </w:rPr>
              <w:t>충청남도</w:t>
            </w:r>
          </w:p>
        </w:tc>
        <w:tc>
          <w:tcPr>
            <w:tcW w:w="7238" w:type="dxa"/>
            <w:shd w:val="clear" w:color="auto" w:fill="FCE4D6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>
            <w:pPr>
              <w:ind w:left="0" w:right="0" w:firstLine="0"/>
              <w:jc w:val="left"/>
              <w:spacing w:line="168"/>
            </w:pPr>
            <w:r>
              <w:rPr>
                <w:rFonts w:ascii="맑은 고딕" w:eastAsia="맑은 고딕" w:hAnsi="맑은 고딕" w:cs="맑은 고딕"/>
                <w:b/>
                <w:bCs/>
                <w:color w:val="C55A11"/>
                <w:sz w:val="20"/>
                <w:szCs w:val="20"/>
              </w:rPr>
              <w:t>운영비 지원 및 구조적·정책적 적자 보전 체계 없음 — 강원도와 함께 전국 최하위권</w:t>
            </w:r>
          </w:p>
        </w:tc>
      </w:tr>
    </w:tbl>
    <w:p>
      <w:pPr>
        <w:spacing w:after="140"/>
      </w:pPr>
    </w:p>
    <w:p>
      <w:pPr>
        <w:spacing w:after="140" w:line="288"/>
      </w:pPr>
      <w:r>
        <w:rPr>
          <w:rFonts w:ascii="맑은 고딕" w:eastAsia="맑은 고딕" w:hAnsi="맑은 고딕" w:cs="맑은 고딕"/>
          <w:sz w:val="21"/>
          <w:szCs w:val="21"/>
        </w:rPr>
        <w:t>반면 충청남도는 전국 의료원들에 공통 해당되는 장비·시설투자와 일부 정책사업 지원은 있으나, 운영비 지원과 구조적·정책적 적자 보전 체계는 거의 없습니다.</w:t>
      </w:r>
    </w:p>
    <w:p>
      <w:pPr>
        <w:spacing w:after="140" w:line="288"/>
      </w:pPr>
      <w:r>
        <w:rPr>
          <w:rFonts w:ascii="맑은 고딕" w:eastAsia="맑은 고딕" w:hAnsi="맑은 고딕" w:cs="맑은 고딕"/>
          <w:sz w:val="21"/>
          <w:szCs w:val="21"/>
        </w:rPr>
        <w:t>보태어 충남도의 정책적 결정하에 시행되던 사업 중 2025년부터 지원이 중단된 사업비는 총 4억 2천여만 원입니다.</w:t>
      </w:r>
    </w:p>
    <w:p>
      <w:pPr>
        <w:spacing w:after="80"/>
      </w:pPr>
    </w:p>
    <w:tbl>
      <w:tblPr>
        <w:tblW w:w="9638" w:type="dxa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4A0" w:firstRow="1" w:lastRow="0" w:firstColumn="1" w:lastColumn="0" w:noHBand="0" w:noVBand="1"/>
      </w:tblPr>
      <w:tblGrid>
        <w:gridCol w:w="6238"/>
        <w:gridCol w:w="3400"/>
      </w:tblGrid>
      <w:tr>
        <w:trPr>
          <w:tblHeader/>
        </w:trPr>
        <w:tc>
          <w:tcPr>
            <w:tcW w:w="6238" w:type="dxa"/>
            <w:shd w:val="clear" w:color="auto" w:fill="1F4E79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>
            <w:pPr>
              <w:jc w:val="left"/>
            </w:pP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20"/>
                <w:szCs w:val="20"/>
              </w:rPr>
              <w:t>중단 사업명</w:t>
            </w:r>
          </w:p>
        </w:tc>
        <w:tc>
          <w:tcPr>
            <w:tcW w:w="3400" w:type="dxa"/>
            <w:shd w:val="clear" w:color="auto" w:fill="1F4E79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20"/>
                <w:szCs w:val="20"/>
              </w:rPr>
              <w:t>규모</w:t>
            </w:r>
          </w:p>
        </w:tc>
      </w:tr>
      <w:tr>
        <w:tc>
          <w:tcPr>
            <w:tcW w:w="6238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>
            <w:pPr>
              <w:jc w:val="left"/>
            </w:pPr>
            <w:r>
              <w:rPr>
                <w:rFonts w:ascii="맑은 고딕" w:eastAsia="맑은 고딕" w:hAnsi="맑은 고딕" w:cs="맑은 고딕"/>
                <w:b w:val="0"/>
                <w:bCs w:val="0"/>
                <w:color w:val="1F1F1F"/>
                <w:sz w:val="20"/>
                <w:szCs w:val="20"/>
              </w:rPr>
              <w:t>충남형 인건비 지원사업</w:t>
            </w:r>
          </w:p>
        </w:tc>
        <w:tc>
          <w:tcPr>
            <w:tcW w:w="340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>
            <w:pPr>
              <w:jc w:val="center"/>
            </w:pPr>
            <w:r>
              <w:rPr>
                <w:rFonts w:ascii="맑은 고딕" w:eastAsia="맑은 고딕" w:hAnsi="맑은 고딕" w:cs="맑은 고딕"/>
                <w:b w:val="0"/>
                <w:bCs w:val="0"/>
                <w:color w:val="1F1F1F"/>
                <w:sz w:val="20"/>
                <w:szCs w:val="20"/>
              </w:rPr>
              <w:t>1억 5,000만 원</w:t>
            </w:r>
          </w:p>
        </w:tc>
      </w:tr>
      <w:tr>
        <w:tc>
          <w:tcPr>
            <w:tcW w:w="6238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>
            <w:pPr>
              <w:jc w:val="left"/>
            </w:pPr>
            <w:r>
              <w:rPr>
                <w:rFonts w:ascii="맑은 고딕" w:eastAsia="맑은 고딕" w:hAnsi="맑은 고딕" w:cs="맑은 고딕"/>
                <w:b w:val="0"/>
                <w:bCs w:val="0"/>
                <w:color w:val="1F1F1F"/>
                <w:sz w:val="20"/>
                <w:szCs w:val="20"/>
              </w:rPr>
              <w:t>프리셉터 교육사업비</w:t>
            </w:r>
          </w:p>
        </w:tc>
        <w:tc>
          <w:tcPr>
            <w:tcW w:w="340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>
            <w:pPr>
              <w:jc w:val="center"/>
            </w:pPr>
            <w:r>
              <w:rPr>
                <w:rFonts w:ascii="맑은 고딕" w:eastAsia="맑은 고딕" w:hAnsi="맑은 고딕" w:cs="맑은 고딕"/>
                <w:b w:val="0"/>
                <w:bCs w:val="0"/>
                <w:color w:val="1F1F1F"/>
                <w:sz w:val="20"/>
                <w:szCs w:val="20"/>
              </w:rPr>
              <w:t>2,700만 원</w:t>
            </w:r>
          </w:p>
        </w:tc>
      </w:tr>
      <w:tr>
        <w:tc>
          <w:tcPr>
            <w:tcW w:w="6238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>
            <w:pPr>
              <w:jc w:val="left"/>
            </w:pPr>
            <w:r>
              <w:rPr>
                <w:rFonts w:ascii="맑은 고딕" w:eastAsia="맑은 고딕" w:hAnsi="맑은 고딕" w:cs="맑은 고딕"/>
                <w:b w:val="0"/>
                <w:bCs w:val="0"/>
                <w:color w:val="1F1F1F"/>
                <w:sz w:val="20"/>
                <w:szCs w:val="20"/>
              </w:rPr>
              <w:t>비정규직의 정규직 전환 사업비 지원</w:t>
            </w:r>
          </w:p>
        </w:tc>
        <w:tc>
          <w:tcPr>
            <w:tcW w:w="340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>
            <w:pPr>
              <w:jc w:val="center"/>
            </w:pPr>
            <w:r>
              <w:rPr>
                <w:rFonts w:ascii="맑은 고딕" w:eastAsia="맑은 고딕" w:hAnsi="맑은 고딕" w:cs="맑은 고딕"/>
                <w:b w:val="0"/>
                <w:bCs w:val="0"/>
                <w:color w:val="1F1F1F"/>
                <w:sz w:val="20"/>
                <w:szCs w:val="20"/>
              </w:rPr>
              <w:t>9,900만 원</w:t>
            </w:r>
          </w:p>
        </w:tc>
      </w:tr>
      <w:tr>
        <w:tc>
          <w:tcPr>
            <w:tcW w:w="6238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>
            <w:pPr>
              <w:jc w:val="left"/>
            </w:pPr>
            <w:r>
              <w:rPr>
                <w:rFonts w:ascii="맑은 고딕" w:eastAsia="맑은 고딕" w:hAnsi="맑은 고딕" w:cs="맑은 고딕"/>
                <w:b w:val="0"/>
                <w:bCs w:val="0"/>
                <w:color w:val="1F1F1F"/>
                <w:sz w:val="20"/>
                <w:szCs w:val="20"/>
              </w:rPr>
              <w:t>301네트워크사업(국비)</w:t>
            </w:r>
          </w:p>
        </w:tc>
        <w:tc>
          <w:tcPr>
            <w:tcW w:w="340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>
            <w:pPr>
              <w:jc w:val="center"/>
            </w:pPr>
            <w:r>
              <w:rPr>
                <w:rFonts w:ascii="맑은 고딕" w:eastAsia="맑은 고딕" w:hAnsi="맑은 고딕" w:cs="맑은 고딕"/>
                <w:b w:val="0"/>
                <w:bCs w:val="0"/>
                <w:color w:val="1F1F1F"/>
                <w:sz w:val="20"/>
                <w:szCs w:val="20"/>
              </w:rPr>
              <w:t>2,200만 원</w:t>
            </w:r>
          </w:p>
        </w:tc>
      </w:tr>
      <w:tr>
        <w:tc>
          <w:tcPr>
            <w:tcW w:w="6238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>
            <w:pPr>
              <w:jc w:val="left"/>
            </w:pPr>
            <w:r>
              <w:rPr>
                <w:rFonts w:ascii="맑은 고딕" w:eastAsia="맑은 고딕" w:hAnsi="맑은 고딕" w:cs="맑은 고딕"/>
                <w:b w:val="0"/>
                <w:bCs w:val="0"/>
                <w:color w:val="1F1F1F"/>
                <w:sz w:val="20"/>
                <w:szCs w:val="20"/>
              </w:rPr>
              <w:t>경영개선지원금 (2024년부터 중단)</w:t>
            </w:r>
          </w:p>
        </w:tc>
        <w:tc>
          <w:tcPr>
            <w:tcW w:w="340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>
            <w:pPr>
              <w:jc w:val="center"/>
            </w:pPr>
            <w:r>
              <w:rPr>
                <w:rFonts w:ascii="맑은 고딕" w:eastAsia="맑은 고딕" w:hAnsi="맑은 고딕" w:cs="맑은 고딕"/>
                <w:b w:val="0"/>
                <w:bCs w:val="0"/>
                <w:color w:val="1F1F1F"/>
                <w:sz w:val="20"/>
                <w:szCs w:val="20"/>
              </w:rPr>
              <w:t>8,000만 원</w:t>
            </w:r>
          </w:p>
        </w:tc>
      </w:tr>
      <w:tr>
        <w:tc>
          <w:tcPr>
            <w:tcW w:w="6238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>
            <w:pPr>
              <w:jc w:val="left"/>
            </w:pPr>
            <w:r>
              <w:rPr>
                <w:rFonts w:ascii="맑은 고딕" w:eastAsia="맑은 고딕" w:hAnsi="맑은 고딕" w:cs="맑은 고딕"/>
                <w:b w:val="0"/>
                <w:bCs w:val="0"/>
                <w:color w:val="1F1F1F"/>
                <w:sz w:val="20"/>
                <w:szCs w:val="20"/>
              </w:rPr>
              <w:t>버스광고비</w:t>
            </w:r>
          </w:p>
        </w:tc>
        <w:tc>
          <w:tcPr>
            <w:tcW w:w="340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>
            <w:pPr>
              <w:jc w:val="center"/>
            </w:pPr>
            <w:r>
              <w:rPr>
                <w:rFonts w:ascii="맑은 고딕" w:eastAsia="맑은 고딕" w:hAnsi="맑은 고딕" w:cs="맑은 고딕"/>
                <w:b w:val="0"/>
                <w:bCs w:val="0"/>
                <w:color w:val="1F1F1F"/>
                <w:sz w:val="20"/>
                <w:szCs w:val="20"/>
              </w:rPr>
              <w:t>4,000만 원</w:t>
            </w:r>
          </w:p>
        </w:tc>
      </w:tr>
      <w:tr>
        <w:tc>
          <w:tcPr>
            <w:tcW w:w="6238" w:type="dxa"/>
            <w:shd w:val="clear" w:color="auto" w:fill="F2F2F2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>
            <w:pPr>
              <w:jc w:val="left"/>
            </w:pPr>
            <w:r>
              <w:rPr>
                <w:rFonts w:ascii="맑은 고딕" w:eastAsia="맑은 고딕" w:hAnsi="맑은 고딕" w:cs="맑은 고딕"/>
                <w:b/>
                <w:bCs/>
                <w:color w:val="1F1F1F"/>
                <w:sz w:val="20"/>
                <w:szCs w:val="20"/>
              </w:rPr>
              <w:t>합계</w:t>
            </w:r>
          </w:p>
        </w:tc>
        <w:tc>
          <w:tcPr>
            <w:tcW w:w="3400" w:type="dxa"/>
            <w:shd w:val="clear" w:color="auto" w:fill="F2F2F2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1F1F1F"/>
                <w:sz w:val="20"/>
                <w:szCs w:val="20"/>
              </w:rPr>
              <w:t>약 4억 2,000만 원</w:t>
            </w:r>
          </w:p>
        </w:tc>
      </w:tr>
    </w:tbl>
    <w:p>
      <w:pPr>
        <w:spacing w:after="220"/>
      </w:pPr>
    </w:p>
    <w:tbl>
      <w:tblPr>
        <w:tblW w:w="9638" w:type="dxa"/>
        <w:tblBorders>
          <w:top w:val="none"/>
          <w:left w:val="none"/>
          <w:bottom w:val="none"/>
          <w:right w:val="none"/>
          <w:insideH w:val="none"/>
          <w:insideV w:val="none"/>
        </w:tblBorders>
        <w:tblLook w:val="04A0" w:firstRow="1" w:lastRow="0" w:firstColumn="1" w:lastColumn="0" w:noHBand="0" w:noVBand="1"/>
      </w:tblPr>
      <w:tblGrid>
        <w:gridCol w:w="9638"/>
      </w:tblGrid>
      <w:tr>
        <w:tc>
          <w:tcPr>
            <w:tcW w:w="9638" w:type="dxa"/>
            <w:shd w:val="clear" w:color="auto" w:fill="1F4E79"/>
            <w:tcMar>
              <w:top w:w="120" w:type="dxa"/>
              <w:left w:w="200" w:type="dxa"/>
              <w:bottom w:w="120" w:type="dxa"/>
              <w:right w:w="200" w:type="dxa"/>
            </w:tcMar>
          </w:tcPr>
          <w:p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24"/>
                <w:szCs w:val="24"/>
              </w:rPr>
              <w:t xml:space="preserve">Ⅴ  </w:t>
            </w: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24"/>
                <w:szCs w:val="24"/>
              </w:rPr>
              <w:t>왜 충남도의 지원이 필요한가</w:t>
            </w:r>
          </w:p>
        </w:tc>
      </w:tr>
    </w:tbl>
    <w:p>
      <w:pPr>
        <w:spacing w:after="140"/>
      </w:pPr>
    </w:p>
    <w:p>
      <w:pPr>
        <w:spacing w:after="140" w:line="288"/>
      </w:pPr>
      <w:r>
        <w:rPr>
          <w:rFonts w:ascii="맑은 고딕" w:eastAsia="맑은 고딕" w:hAnsi="맑은 고딕" w:cs="맑은 고딕"/>
          <w:sz w:val="21"/>
          <w:szCs w:val="21"/>
        </w:rPr>
        <w:t>공주의료원 재정에 대해 민간병원과 동일한 기준으로 평가하기 어렵습니다. 그러나 공주의료원에 대한 지원이 이루어지지 않는다면 —</w:t>
      </w:r>
    </w:p>
    <w:tbl>
      <w:tblPr>
        <w:tblW w:w="9638" w:type="dxa"/>
        <w:tblBorders>
          <w:top w:val="single" w:sz="4" w:space="0" w:color="C55A11"/>
          <w:left w:val="single" w:sz="4" w:space="0" w:color="C55A11"/>
          <w:bottom w:val="single" w:sz="4" w:space="0" w:color="C55A11"/>
          <w:right w:val="single" w:sz="4" w:space="0" w:color="C55A11"/>
          <w:insideH w:val="none"/>
          <w:insideV w:val="none"/>
        </w:tblBorders>
        <w:tblLook w:val="04A0" w:firstRow="1" w:lastRow="0" w:firstColumn="1" w:lastColumn="0" w:noHBand="0" w:noVBand="1"/>
      </w:tblPr>
      <w:tblGrid>
        <w:gridCol w:w="9638"/>
      </w:tblGrid>
      <w:tr>
        <w:tc>
          <w:tcPr>
            <w:tcW w:w="9638" w:type="dxa"/>
            <w:shd w:val="clear" w:color="auto" w:fill="FCE4D6"/>
            <w:tcMar>
              <w:top w:w="160" w:type="dxa"/>
              <w:left w:w="240" w:type="dxa"/>
              <w:bottom w:w="160" w:type="dxa"/>
              <w:right w:w="240" w:type="dxa"/>
            </w:tcMar>
          </w:tcPr>
          <w:p>
            <w:pPr>
              <w:spacing w:after="80" w:line="288"/>
            </w:pPr>
            <w:r>
              <w:rPr>
                <w:rFonts w:ascii="맑은 고딕" w:eastAsia="맑은 고딕" w:hAnsi="맑은 고딕" w:cs="맑은 고딕"/>
                <w:b/>
                <w:bCs/>
                <w:color w:val="C55A11"/>
                <w:sz w:val="21"/>
                <w:szCs w:val="21"/>
              </w:rPr>
              <w:t>응급의료 대응 역량 약화</w:t>
            </w:r>
          </w:p>
          <w:p>
            <w:pPr>
              <w:spacing w:after="80" w:line="288"/>
            </w:pPr>
            <w:r>
              <w:rPr>
                <w:rFonts w:ascii="맑은 고딕" w:eastAsia="맑은 고딕" w:hAnsi="맑은 고딕" w:cs="맑은 고딕"/>
                <w:b/>
                <w:bCs/>
                <w:color w:val="C55A11"/>
                <w:sz w:val="21"/>
                <w:szCs w:val="21"/>
              </w:rPr>
              <w:t>감염병 대응 기능 약화</w:t>
            </w:r>
          </w:p>
          <w:p>
            <w:pPr>
              <w:spacing w:after="80" w:line="288"/>
            </w:pPr>
            <w:r>
              <w:rPr>
                <w:rFonts w:ascii="맑은 고딕" w:eastAsia="맑은 고딕" w:hAnsi="맑은 고딕" w:cs="맑은 고딕"/>
                <w:b/>
                <w:bCs/>
                <w:color w:val="C55A11"/>
                <w:sz w:val="21"/>
                <w:szCs w:val="21"/>
              </w:rPr>
              <w:t>의료취약계층 의료 공백</w:t>
            </w:r>
          </w:p>
          <w:p>
            <w:pPr>
              <w:spacing w:after="80" w:line="288"/>
            </w:pPr>
            <w:r>
              <w:rPr>
                <w:rFonts w:ascii="맑은 고딕" w:eastAsia="맑은 고딕" w:hAnsi="맑은 고딕" w:cs="맑은 고딕"/>
                <w:b/>
                <w:bCs/>
                <w:color w:val="C55A11"/>
                <w:sz w:val="21"/>
                <w:szCs w:val="21"/>
              </w:rPr>
              <w:t>지역 필수의료 붕괴</w:t>
            </w:r>
          </w:p>
          <w:p>
            <w:pPr>
              <w:spacing w:after="0" w:line="288"/>
            </w:pPr>
            <w:r>
              <w:rPr>
                <w:rFonts w:ascii="맑은 고딕" w:eastAsia="맑은 고딕" w:hAnsi="맑은 고딕" w:cs="맑은 고딕"/>
                <w:b/>
                <w:bCs/>
                <w:color w:val="C55A11"/>
                <w:sz w:val="21"/>
                <w:szCs w:val="21"/>
              </w:rPr>
              <w:t>충남 공공의료 안전망 약화</w:t>
            </w:r>
          </w:p>
        </w:tc>
      </w:tr>
    </w:tbl>
    <w:p>
      <w:pPr>
        <w:spacing w:after="100"/>
      </w:pPr>
    </w:p>
    <w:p>
      <w:pPr>
        <w:spacing w:after="140" w:line="288"/>
        <w:rPr>
          <w:lang/>
          <w:rFonts w:ascii="맑은 고딕" w:eastAsia="맑은 고딕" w:hAnsi="맑은 고딕" w:cs="맑은 고딕"/>
          <w:b/>
          <w:bCs/>
          <w:sz w:val="21"/>
          <w:szCs w:val="21"/>
          <w:rtl w:val="off"/>
        </w:rPr>
      </w:pPr>
      <w:r>
        <w:rPr>
          <w:rFonts w:ascii="맑은 고딕" w:eastAsia="맑은 고딕" w:hAnsi="맑은 고딕" w:cs="맑은 고딕"/>
          <w:b/>
          <w:bCs/>
          <w:sz w:val="21"/>
          <w:szCs w:val="21"/>
        </w:rPr>
        <w:t>따라서 공주의료원은 수익성이 아니라 공공성의 관점에서 유지되어야 합니다.</w:t>
      </w:r>
    </w:p>
    <w:p>
      <w:pPr>
        <w:spacing w:after="140" w:line="288"/>
        <w:rPr>
          <w:lang/>
          <w:rtl w:val="off"/>
        </w:rPr>
      </w:pPr>
    </w:p>
    <w:p>
      <w:pPr>
        <w:spacing w:after="140" w:line="288"/>
        <w:rPr>
          <w:lang w:eastAsia="ko-KR"/>
          <w:rFonts w:hint="eastAsia"/>
          <w:rtl w:val="off"/>
        </w:rPr>
      </w:pPr>
    </w:p>
    <w:p>
      <w:pPr>
        <w:spacing w:after="140" w:line="288"/>
        <w:rPr>
          <w:lang w:eastAsia="ko-KR"/>
          <w:rFonts w:hint="eastAsia"/>
          <w:rtl w:val="off"/>
        </w:rPr>
      </w:pPr>
    </w:p>
    <w:p>
      <w:pPr>
        <w:spacing w:after="140" w:line="288"/>
        <w:rPr>
          <w:lang w:eastAsia="ko-KR"/>
          <w:rFonts w:hint="eastAsia"/>
          <w:rtl w:val="off"/>
        </w:rPr>
      </w:pPr>
    </w:p>
    <w:p>
      <w:pPr>
        <w:spacing w:after="140" w:line="288"/>
        <w:rPr>
          <w:lang w:eastAsia="ko-KR"/>
          <w:rFonts w:hint="eastAsia"/>
          <w:rtl w:val="off"/>
        </w:rPr>
      </w:pPr>
    </w:p>
    <w:tbl>
      <w:tblPr>
        <w:tblW w:w="9638" w:type="dxa"/>
        <w:tblBorders>
          <w:top w:val="none"/>
          <w:left w:val="none"/>
          <w:bottom w:val="none"/>
          <w:right w:val="none"/>
          <w:insideH w:val="none"/>
          <w:insideV w:val="none"/>
        </w:tblBorders>
        <w:tblLook w:val="04A0" w:firstRow="1" w:lastRow="0" w:firstColumn="1" w:lastColumn="0" w:noHBand="0" w:noVBand="1"/>
      </w:tblPr>
      <w:tblGrid>
        <w:gridCol w:w="9638"/>
      </w:tblGrid>
      <w:tr>
        <w:tc>
          <w:tcPr>
            <w:tcW w:w="9638" w:type="dxa"/>
            <w:shd w:val="clear" w:color="auto" w:fill="1F4E79"/>
            <w:tcMar>
              <w:top w:w="120" w:type="dxa"/>
              <w:left w:w="200" w:type="dxa"/>
              <w:bottom w:w="120" w:type="dxa"/>
              <w:right w:w="200" w:type="dxa"/>
            </w:tcMar>
          </w:tcPr>
          <w:p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24"/>
                <w:szCs w:val="24"/>
              </w:rPr>
              <w:t xml:space="preserve">Ⅵ  </w:t>
            </w: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24"/>
                <w:szCs w:val="24"/>
              </w:rPr>
              <w:t>정책 제안</w:t>
            </w:r>
          </w:p>
        </w:tc>
      </w:tr>
    </w:tbl>
    <w:p>
      <w:pPr>
        <w:spacing w:after="140"/>
      </w:pPr>
    </w:p>
    <w:tbl>
      <w:tblPr>
        <w:tblW w:w="9638" w:type="dxa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4" w:space="0" w:color="AAAAAA"/>
          <w:insideV w:val="single" w:sz="4" w:space="0" w:color="AAAAAA"/>
        </w:tblBorders>
        <w:tblLook w:val="04A0" w:firstRow="1" w:lastRow="0" w:firstColumn="1" w:lastColumn="0" w:noHBand="0" w:noVBand="1"/>
      </w:tblPr>
      <w:tblGrid>
        <w:gridCol w:w="1400"/>
        <w:gridCol w:w="8238"/>
      </w:tblGrid>
      <w:tr>
        <w:trPr>
          <w:tblHeader/>
        </w:trPr>
        <w:tc>
          <w:tcPr>
            <w:tcW w:w="1400" w:type="dxa"/>
            <w:shd w:val="clear" w:color="auto" w:fill="1F4E79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20"/>
                <w:szCs w:val="20"/>
              </w:rPr>
              <w:t>구분</w:t>
            </w:r>
          </w:p>
        </w:tc>
        <w:tc>
          <w:tcPr>
            <w:tcW w:w="8238" w:type="dxa"/>
            <w:shd w:val="clear" w:color="auto" w:fill="1F4E79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>
            <w:pPr>
              <w:jc w:val="left"/>
            </w:pP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20"/>
                <w:szCs w:val="20"/>
              </w:rPr>
              <w:t>주요 내용</w:t>
            </w:r>
          </w:p>
        </w:tc>
      </w:tr>
      <w:tr>
        <w:tc>
          <w:tcPr>
            <w:tcW w:w="1400" w:type="dxa"/>
            <w:shd w:val="clear" w:color="auto" w:fill="DCE6F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1F4E79"/>
                <w:sz w:val="20"/>
                <w:szCs w:val="20"/>
              </w:rPr>
              <w:t>단기</w:t>
            </w:r>
          </w:p>
        </w:tc>
        <w:tc>
          <w:tcPr>
            <w:tcW w:w="8238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>
            <w:pPr>
              <w:jc w:val="left"/>
            </w:pPr>
            <w:r>
              <w:rPr>
                <w:rFonts w:ascii="맑은 고딕" w:eastAsia="맑은 고딕" w:hAnsi="맑은 고딕" w:cs="맑은 고딕"/>
                <w:b w:val="0"/>
                <w:bCs w:val="0"/>
                <w:color w:val="1F1F1F"/>
                <w:sz w:val="20"/>
                <w:szCs w:val="20"/>
              </w:rPr>
              <w:t>지역개발기금 상환 방안 조정 및 20여 년 이상 누적된 부채 해결 · 긴급 운영 안정 자금 지원 · 정책사업비 확대</w:t>
            </w:r>
          </w:p>
        </w:tc>
      </w:tr>
      <w:tr>
        <w:tc>
          <w:tcPr>
            <w:tcW w:w="1400" w:type="dxa"/>
            <w:shd w:val="clear" w:color="auto" w:fill="DCE6F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1F4E79"/>
                <w:sz w:val="20"/>
                <w:szCs w:val="20"/>
              </w:rPr>
              <w:t>중기</w:t>
            </w:r>
          </w:p>
        </w:tc>
        <w:tc>
          <w:tcPr>
            <w:tcW w:w="8238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>
            <w:pPr>
              <w:jc w:val="left"/>
            </w:pPr>
            <w:r>
              <w:rPr>
                <w:rFonts w:ascii="맑은 고딕" w:eastAsia="맑은 고딕" w:hAnsi="맑은 고딕" w:cs="맑은 고딕"/>
                <w:b w:val="0"/>
                <w:bCs w:val="0"/>
                <w:color w:val="1F1F1F"/>
                <w:sz w:val="20"/>
                <w:szCs w:val="20"/>
              </w:rPr>
              <w:t>공공의료 정책적 적자 일부 보전 · 필수의료 운영비 지원 · 공공정책수가 확대 공동 건의</w:t>
            </w:r>
          </w:p>
        </w:tc>
      </w:tr>
      <w:tr>
        <w:tc>
          <w:tcPr>
            <w:tcW w:w="1400" w:type="dxa"/>
            <w:shd w:val="clear" w:color="auto" w:fill="DCE6F1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1F4E79"/>
                <w:sz w:val="20"/>
                <w:szCs w:val="20"/>
              </w:rPr>
              <w:t>장기</w:t>
            </w:r>
          </w:p>
        </w:tc>
        <w:tc>
          <w:tcPr>
            <w:tcW w:w="8238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>
            <w:pPr>
              <w:jc w:val="left"/>
            </w:pPr>
            <w:r>
              <w:rPr>
                <w:rFonts w:ascii="맑은 고딕" w:eastAsia="맑은 고딕" w:hAnsi="맑은 고딕" w:cs="맑은 고딕"/>
                <w:b w:val="0"/>
                <w:bCs w:val="0"/>
                <w:color w:val="1F1F1F"/>
                <w:sz w:val="20"/>
                <w:szCs w:val="20"/>
              </w:rPr>
              <w:t>충청남도 공공의료 운영 지원체계 구축 · 공공의료 중장기 발전계획 수립 · 국가 공공병원 지원제도 개선 건의</w:t>
            </w:r>
          </w:p>
        </w:tc>
      </w:tr>
    </w:tbl>
    <w:p>
      <w:pPr>
        <w:spacing w:after="220"/>
      </w:pPr>
    </w:p>
    <w:tbl>
      <w:tblPr>
        <w:tblW w:w="9638" w:type="dxa"/>
        <w:tblBorders>
          <w:top w:val="none"/>
          <w:left w:val="none"/>
          <w:bottom w:val="none"/>
          <w:right w:val="none"/>
          <w:insideH w:val="none"/>
          <w:insideV w:val="none"/>
        </w:tblBorders>
        <w:tblLook w:val="04A0" w:firstRow="1" w:lastRow="0" w:firstColumn="1" w:lastColumn="0" w:noHBand="0" w:noVBand="1"/>
      </w:tblPr>
      <w:tblGrid>
        <w:gridCol w:w="9638"/>
      </w:tblGrid>
      <w:tr>
        <w:tc>
          <w:tcPr>
            <w:tcW w:w="9638" w:type="dxa"/>
            <w:shd w:val="clear" w:color="auto" w:fill="1F4E79"/>
            <w:tcMar>
              <w:top w:w="120" w:type="dxa"/>
              <w:left w:w="200" w:type="dxa"/>
              <w:bottom w:w="120" w:type="dxa"/>
              <w:right w:w="200" w:type="dxa"/>
            </w:tcMar>
          </w:tcPr>
          <w:p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24"/>
                <w:szCs w:val="24"/>
              </w:rPr>
              <w:t xml:space="preserve">Ⅶ  </w:t>
            </w: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24"/>
                <w:szCs w:val="24"/>
              </w:rPr>
              <w:t>기대효과</w:t>
            </w:r>
          </w:p>
        </w:tc>
      </w:tr>
    </w:tbl>
    <w:p>
      <w:pPr>
        <w:spacing w:after="140"/>
      </w:pPr>
    </w:p>
    <w:p>
      <w:pPr>
        <w:ind w:left="360" w:hanging="180"/>
        <w:spacing w:after="60" w:line="276"/>
      </w:pPr>
      <w:r>
        <w:rPr>
          <w:rFonts w:ascii="맑은 고딕" w:eastAsia="맑은 고딕" w:hAnsi="맑은 고딕" w:cs="맑은 고딕"/>
          <w:b/>
          <w:bCs/>
          <w:color w:val="1F4E79"/>
          <w:sz w:val="21"/>
          <w:szCs w:val="21"/>
        </w:rPr>
        <w:t xml:space="preserve">•  </w:t>
      </w:r>
      <w:r>
        <w:rPr>
          <w:rFonts w:ascii="맑은 고딕" w:eastAsia="맑은 고딕" w:hAnsi="맑은 고딕" w:cs="맑은 고딕"/>
          <w:sz w:val="21"/>
          <w:szCs w:val="21"/>
        </w:rPr>
        <w:t>응급의료 체계 안정</w:t>
      </w:r>
    </w:p>
    <w:p>
      <w:pPr>
        <w:ind w:left="360" w:hanging="180"/>
        <w:spacing w:after="60" w:line="276"/>
      </w:pPr>
      <w:r>
        <w:rPr>
          <w:rFonts w:ascii="맑은 고딕" w:eastAsia="맑은 고딕" w:hAnsi="맑은 고딕" w:cs="맑은 고딕"/>
          <w:b/>
          <w:bCs/>
          <w:color w:val="1F4E79"/>
          <w:sz w:val="21"/>
          <w:szCs w:val="21"/>
        </w:rPr>
        <w:t xml:space="preserve">•  </w:t>
      </w:r>
      <w:r>
        <w:rPr>
          <w:rFonts w:ascii="맑은 고딕" w:eastAsia="맑은 고딕" w:hAnsi="맑은 고딕" w:cs="맑은 고딕"/>
          <w:sz w:val="21"/>
          <w:szCs w:val="21"/>
        </w:rPr>
        <w:t>지역 완결형 필수의료 구축</w:t>
      </w:r>
    </w:p>
    <w:p>
      <w:pPr>
        <w:ind w:left="360" w:hanging="180"/>
        <w:spacing w:after="60" w:line="276"/>
      </w:pPr>
      <w:r>
        <w:rPr>
          <w:rFonts w:ascii="맑은 고딕" w:eastAsia="맑은 고딕" w:hAnsi="맑은 고딕" w:cs="맑은 고딕"/>
          <w:b/>
          <w:bCs/>
          <w:color w:val="1F4E79"/>
          <w:sz w:val="21"/>
          <w:szCs w:val="21"/>
        </w:rPr>
        <w:t xml:space="preserve">•  </w:t>
      </w:r>
      <w:r>
        <w:rPr>
          <w:rFonts w:ascii="맑은 고딕" w:eastAsia="맑은 고딕" w:hAnsi="맑은 고딕" w:cs="맑은 고딕"/>
          <w:sz w:val="21"/>
          <w:szCs w:val="21"/>
        </w:rPr>
        <w:t>의료취약계층 의료 접근성 향상</w:t>
      </w:r>
    </w:p>
    <w:p>
      <w:pPr>
        <w:ind w:left="360" w:hanging="180"/>
        <w:spacing w:after="60" w:line="276"/>
      </w:pPr>
      <w:r>
        <w:rPr>
          <w:rFonts w:ascii="맑은 고딕" w:eastAsia="맑은 고딕" w:hAnsi="맑은 고딕" w:cs="맑은 고딕"/>
          <w:b/>
          <w:bCs/>
          <w:color w:val="1F4E79"/>
          <w:sz w:val="21"/>
          <w:szCs w:val="21"/>
        </w:rPr>
        <w:t xml:space="preserve">•  </w:t>
      </w:r>
      <w:r>
        <w:rPr>
          <w:rFonts w:ascii="맑은 고딕" w:eastAsia="맑은 고딕" w:hAnsi="맑은 고딕" w:cs="맑은 고딕"/>
          <w:sz w:val="21"/>
          <w:szCs w:val="21"/>
        </w:rPr>
        <w:t>감염병 대응 역량 유지</w:t>
      </w:r>
    </w:p>
    <w:p>
      <w:pPr>
        <w:ind w:left="360" w:hanging="180"/>
        <w:spacing w:after="60" w:line="276"/>
      </w:pPr>
      <w:r>
        <w:rPr>
          <w:rFonts w:ascii="맑은 고딕" w:eastAsia="맑은 고딕" w:hAnsi="맑은 고딕" w:cs="맑은 고딕"/>
          <w:b/>
          <w:bCs/>
          <w:color w:val="1F4E79"/>
          <w:sz w:val="21"/>
          <w:szCs w:val="21"/>
        </w:rPr>
        <w:t xml:space="preserve">•  </w:t>
      </w:r>
      <w:r>
        <w:rPr>
          <w:rFonts w:ascii="맑은 고딕" w:eastAsia="맑은 고딕" w:hAnsi="맑은 고딕" w:cs="맑은 고딕"/>
          <w:sz w:val="21"/>
          <w:szCs w:val="21"/>
        </w:rPr>
        <w:t>공공의료 지속가능성 확보</w:t>
      </w:r>
    </w:p>
    <w:p>
      <w:pPr>
        <w:ind w:left="360" w:hanging="180"/>
        <w:spacing w:after="60" w:line="276"/>
      </w:pPr>
      <w:r>
        <w:rPr>
          <w:rFonts w:ascii="맑은 고딕" w:eastAsia="맑은 고딕" w:hAnsi="맑은 고딕" w:cs="맑은 고딕"/>
          <w:b/>
          <w:bCs/>
          <w:color w:val="1F4E79"/>
          <w:sz w:val="21"/>
          <w:szCs w:val="21"/>
        </w:rPr>
        <w:t xml:space="preserve">•  </w:t>
      </w:r>
      <w:r>
        <w:rPr>
          <w:rFonts w:ascii="맑은 고딕" w:eastAsia="맑은 고딕" w:hAnsi="맑은 고딕" w:cs="맑은 고딕"/>
          <w:sz w:val="21"/>
          <w:szCs w:val="21"/>
        </w:rPr>
        <w:t>충남도민 의료 안전망 강화</w:t>
      </w:r>
    </w:p>
    <w:p>
      <w:pPr>
        <w:spacing w:after="200"/>
      </w:pPr>
    </w:p>
    <w:tbl>
      <w:tblPr>
        <w:tblW w:w="9638" w:type="dxa"/>
        <w:tblBorders>
          <w:top w:val="none"/>
          <w:left w:val="none"/>
          <w:bottom w:val="none"/>
          <w:right w:val="none"/>
          <w:insideH w:val="none"/>
          <w:insideV w:val="none"/>
        </w:tblBorders>
        <w:tblLook w:val="04A0" w:firstRow="1" w:lastRow="0" w:firstColumn="1" w:lastColumn="0" w:noHBand="0" w:noVBand="1"/>
      </w:tblPr>
      <w:tblGrid>
        <w:gridCol w:w="9638"/>
      </w:tblGrid>
      <w:tr>
        <w:tc>
          <w:tcPr>
            <w:tcW w:w="9638" w:type="dxa"/>
            <w:shd w:val="clear" w:color="auto" w:fill="1F4E79"/>
            <w:tcMar>
              <w:top w:w="120" w:type="dxa"/>
              <w:left w:w="200" w:type="dxa"/>
              <w:bottom w:w="120" w:type="dxa"/>
              <w:right w:w="200" w:type="dxa"/>
            </w:tcMar>
          </w:tcPr>
          <w:p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24"/>
                <w:szCs w:val="24"/>
              </w:rPr>
              <w:t xml:space="preserve">Ⅷ  </w:t>
            </w: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24"/>
                <w:szCs w:val="24"/>
              </w:rPr>
              <w:t>건의사항</w:t>
            </w:r>
          </w:p>
        </w:tc>
      </w:tr>
    </w:tbl>
    <w:p>
      <w:pPr>
        <w:spacing w:after="140"/>
      </w:pPr>
    </w:p>
    <w:tbl>
      <w:tblPr>
        <w:tblW w:w="9638" w:type="dxa"/>
        <w:tblBorders>
          <w:top w:val="single" w:sz="4" w:space="0" w:color="1F4E79"/>
          <w:left w:val="single" w:sz="4" w:space="0" w:color="1F4E79"/>
          <w:bottom w:val="single" w:sz="4" w:space="0" w:color="1F4E79"/>
          <w:right w:val="single" w:sz="4" w:space="0" w:color="1F4E79"/>
          <w:insideH w:val="none"/>
          <w:insideV w:val="none"/>
        </w:tblBorders>
        <w:tblLook w:val="04A0" w:firstRow="1" w:lastRow="0" w:firstColumn="1" w:lastColumn="0" w:noHBand="0" w:noVBand="1"/>
      </w:tblPr>
      <w:tblGrid>
        <w:gridCol w:w="9638"/>
      </w:tblGrid>
      <w:tr>
        <w:tc>
          <w:tcPr>
            <w:tcW w:w="9638" w:type="dxa"/>
            <w:shd w:val="clear" w:color="auto" w:fill="DCE6F1"/>
            <w:tcMar>
              <w:top w:w="160" w:type="dxa"/>
              <w:left w:w="240" w:type="dxa"/>
              <w:bottom w:w="160" w:type="dxa"/>
              <w:right w:w="240" w:type="dxa"/>
            </w:tcMar>
          </w:tcPr>
          <w:p>
            <w:pPr>
              <w:spacing w:after="80" w:line="288"/>
            </w:pPr>
            <w:r>
              <w:rPr>
                <w:rFonts w:ascii="맑은 고딕" w:eastAsia="맑은 고딕" w:hAnsi="맑은 고딕" w:cs="맑은 고딕"/>
                <w:b/>
                <w:bCs/>
                <w:color w:val="1F1F1F"/>
                <w:sz w:val="21"/>
                <w:szCs w:val="21"/>
              </w:rPr>
              <w:t>① 공주의료원의 재정문제를 구조적·정책적 적자로 인식하여 주시기 바랍니다.</w:t>
            </w:r>
          </w:p>
          <w:p>
            <w:pPr>
              <w:spacing w:after="80" w:line="288"/>
            </w:pPr>
            <w:r>
              <w:rPr>
                <w:rFonts w:ascii="맑은 고딕" w:eastAsia="맑은 고딕" w:hAnsi="맑은 고딕" w:cs="맑은 고딕"/>
                <w:b/>
                <w:bCs/>
                <w:color w:val="1F1F1F"/>
                <w:sz w:val="21"/>
                <w:szCs w:val="21"/>
              </w:rPr>
              <w:t>② 공공의료 기능 수행에 필요한 운영지원 체계를 단계적으로 마련하여 주시기 바랍니다.</w:t>
            </w:r>
          </w:p>
          <w:p>
            <w:pPr>
              <w:spacing w:after="80" w:line="288"/>
            </w:pPr>
            <w:r>
              <w:rPr>
                <w:rFonts w:ascii="맑은 고딕" w:eastAsia="맑은 고딕" w:hAnsi="맑은 고딕" w:cs="맑은 고딕"/>
                <w:b/>
                <w:bCs/>
                <w:color w:val="1F1F1F"/>
                <w:sz w:val="21"/>
                <w:szCs w:val="21"/>
              </w:rPr>
              <w:t>③ 긴급 운영비 지원과 지역개발기금 등 재정 부담 완화 방안을 적극 검토하여 주시기 바랍니다.</w:t>
            </w:r>
          </w:p>
          <w:p>
            <w:pPr>
              <w:spacing w:after="80" w:line="288"/>
            </w:pPr>
            <w:r>
              <w:rPr>
                <w:rFonts w:ascii="맑은 고딕" w:eastAsia="맑은 고딕" w:hAnsi="맑은 고딕" w:cs="맑은 고딕"/>
                <w:b/>
                <w:bCs/>
                <w:color w:val="1F1F1F"/>
                <w:sz w:val="21"/>
                <w:szCs w:val="21"/>
              </w:rPr>
              <w:t>④ 중앙정부와 국회에 공공정책수가 확대 및 신포괄수가제 개선을 공동 건의하여 주시기 바랍니다.</w:t>
            </w:r>
          </w:p>
          <w:p>
            <w:pPr>
              <w:spacing w:after="0" w:line="288"/>
            </w:pPr>
            <w:r>
              <w:rPr>
                <w:rFonts w:ascii="맑은 고딕" w:eastAsia="맑은 고딕" w:hAnsi="맑은 고딕" w:cs="맑은 고딕"/>
                <w:b/>
                <w:bCs/>
                <w:color w:val="1F1F1F"/>
                <w:sz w:val="21"/>
                <w:szCs w:val="21"/>
              </w:rPr>
              <w:t>⑤ 충청남도 공공의료 지속가능성 확보를 위한 중장기 정책을 수립하여 주시기 바랍니다.</w:t>
            </w:r>
          </w:p>
        </w:tc>
      </w:tr>
    </w:tbl>
    <w:p>
      <w:pPr>
        <w:spacing w:after="260"/>
      </w:pPr>
    </w:p>
    <w:p>
      <w:pPr>
        <w:spacing w:after="100" w:before="220"/>
      </w:pPr>
      <w:r>
        <w:rPr>
          <w:rFonts w:ascii="맑은 고딕" w:eastAsia="맑은 고딕" w:hAnsi="맑은 고딕" w:cs="맑은 고딕"/>
          <w:b/>
          <w:bCs/>
          <w:color w:val="1F4E79"/>
          <w:sz w:val="22"/>
          <w:szCs w:val="22"/>
        </w:rPr>
        <w:t>맺음말</w:t>
      </w:r>
    </w:p>
    <w:p>
      <w:pPr>
        <w:spacing w:after="140" w:line="288"/>
      </w:pPr>
      <w:r>
        <w:rPr>
          <w:rFonts w:ascii="맑은 고딕" w:eastAsia="맑은 고딕" w:hAnsi="맑은 고딕" w:cs="맑은 고딕"/>
          <w:sz w:val="21"/>
          <w:szCs w:val="21"/>
        </w:rPr>
        <w:t>공주의료원은 단순한 의료기관이 아니라 충청남도 공공의료체계의 핵심 기반입니다.</w:t>
      </w:r>
    </w:p>
    <w:p>
      <w:pPr>
        <w:spacing w:after="140" w:line="288"/>
      </w:pPr>
      <w:r>
        <w:rPr>
          <w:rFonts w:ascii="맑은 고딕" w:eastAsia="맑은 고딕" w:hAnsi="맑은 고딕" w:cs="맑은 고딕"/>
          <w:sz w:val="21"/>
          <w:szCs w:val="21"/>
        </w:rPr>
        <w:t>최근 병상가동률과 의료서비스 수준과 주민 만족도는 지속적으로 향상되었고, 경영혁신 노력 또한 이어지고 있습니다. 그럼에도 재정적자가 지속되는 것은 공공의료를 수행할수록 손실이 발생하는 제도적, 정책적 구조 때문입니다.</w:t>
      </w:r>
    </w:p>
    <w:p>
      <w:pPr>
        <w:spacing w:after="140" w:line="288"/>
      </w:pPr>
      <w:r>
        <w:rPr>
          <w:rFonts w:ascii="맑은 고딕" w:eastAsia="맑은 고딕" w:hAnsi="맑은 고딕" w:cs="맑은 고딕"/>
          <w:sz w:val="21"/>
          <w:szCs w:val="21"/>
        </w:rPr>
        <w:t>공공병원은 일반 기업처럼 수익성만으로 평가할 수 없습니다. 응급의료, 감염병 대응, 취약계층 진료, 지역 필수의료, 국가 정책 사업 수행 등을 유지하는 것은 공공병원의 본질적인 책무이며, 이에 따른 정책적 비용은 사회가 함께 부담해야 할 공공투자입니다.</w:t>
      </w:r>
    </w:p>
    <w:p>
      <w:pPr>
        <w:spacing w:after="100"/>
      </w:pPr>
    </w:p>
    <w:tbl>
      <w:tblPr>
        <w:tblW w:w="9638" w:type="dxa"/>
        <w:tblBorders>
          <w:top w:val="single" w:sz="4" w:space="0" w:color="1F4E79"/>
          <w:left w:val="single" w:sz="4" w:space="0" w:color="1F4E79"/>
          <w:bottom w:val="single" w:sz="4" w:space="0" w:color="1F4E79"/>
          <w:right w:val="single" w:sz="4" w:space="0" w:color="1F4E79"/>
          <w:insideH w:val="none"/>
          <w:insideV w:val="none"/>
        </w:tblBorders>
        <w:tblLook w:val="04A0" w:firstRow="1" w:lastRow="0" w:firstColumn="1" w:lastColumn="0" w:noHBand="0" w:noVBand="1"/>
      </w:tblPr>
      <w:tblGrid>
        <w:gridCol w:w="9638"/>
      </w:tblGrid>
      <w:tr>
        <w:tc>
          <w:tcPr>
            <w:tcW w:w="9638" w:type="dxa"/>
            <w:shd w:val="clear" w:color="auto" w:fill="DCE6F1"/>
            <w:tcMar>
              <w:top w:w="160" w:type="dxa"/>
              <w:left w:w="240" w:type="dxa"/>
              <w:bottom w:w="160" w:type="dxa"/>
              <w:right w:w="240" w:type="dxa"/>
            </w:tcMar>
          </w:tcPr>
          <w:p>
            <w:pPr>
              <w:spacing w:after="80" w:line="288"/>
            </w:pPr>
            <w:r>
              <w:rPr>
                <w:rFonts w:ascii="맑은 고딕" w:eastAsia="맑은 고딕" w:hAnsi="맑은 고딕" w:cs="맑은 고딕"/>
                <w:b/>
                <w:bCs/>
                <w:color w:val="1F4E79"/>
                <w:sz w:val="22"/>
                <w:szCs w:val="22"/>
              </w:rPr>
              <w:t>공공의료는 비용이 아니라 도민의 생명과 안전을 위한 투자입니다.</w:t>
            </w:r>
          </w:p>
          <w:p>
            <w:pPr>
              <w:spacing w:after="80" w:line="288"/>
            </w:pPr>
            <w:r>
              <w:rPr>
                <w:rFonts w:ascii="맑은 고딕" w:eastAsia="맑은 고딕" w:hAnsi="맑은 고딕" w:cs="맑은 고딕"/>
                <w:b/>
                <w:bCs/>
                <w:color w:val="1F4E79"/>
                <w:sz w:val="21"/>
                <w:szCs w:val="21"/>
              </w:rPr>
              <w:t>공주의료원은 흑자를 내기 위해 존재하는 기관이 아니라, 적자가 발생하더라도 반드시 유지되어야 하는 충청남도 공공의료의 핵심 기반입니다.</w:t>
            </w:r>
          </w:p>
          <w:p>
            <w:pPr>
              <w:spacing w:after="0" w:line="288"/>
            </w:pPr>
            <w:r>
              <w:rPr>
                <w:rFonts w:ascii="맑은 고딕" w:eastAsia="맑은 고딕" w:hAnsi="맑은 고딕" w:cs="맑은 고딕"/>
                <w:b/>
                <w:bCs/>
                <w:color w:val="1F4E79"/>
                <w:sz w:val="21"/>
                <w:szCs w:val="21"/>
              </w:rPr>
              <w:t>공주의료원의 지속가능성을 확보하는 것은 특정 기관을 지원하는 것이 아니라, 220만 충남도민의 생명과 건강, 그리고 지역 필수의료를 지키기 위한 충청남도의 정책적 책무입니다.</w:t>
            </w:r>
          </w:p>
        </w:tc>
      </w:tr>
    </w:tbl>
    <w:p/>
    <w:sectPr>
      <w:pgSz w:w="11906" w:h="16838"/>
      <w:pgMar w:top="1134" w:right="1134" w:bottom="1134" w:left="1134" w:header="708" w:footer="708" w:gutter="0"/>
      <w:cols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맑은 고딕">
    <w:panose1 w:val="020B0503020000020004"/>
    <w:family w:val="Malgun Gothic"/>
    <w:charset w:val="00"/>
    <w:notTrueType w:val="false"/>
    <w:sig w:usb0="7FFFFFFF" w:usb1="29D77CFB" w:usb2="00000012" w:usb3="00000001" w:csb0="00080001" w:csb1="000000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removePersonalInformation/>
  <w:displayBackgroundShape/>
  <w:bordersDontSurroundHeader/>
  <w:bordersDontSurroundFooter/>
  <w:hideGrammaticalErrors/>
  <w:proofState w:spelling="clean" w:grammar="clean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1"/>
  <w:characterSpacingControl w:val="doNotCompress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LA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/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35" w:unhideWhenUsed="1"/>
    <w:lsdException w:name="toc 2" w:semiHidden="1" w:uiPriority="135" w:unhideWhenUsed="1"/>
    <w:lsdException w:name="toc 3" w:semiHidden="1" w:uiPriority="135" w:unhideWhenUsed="1"/>
    <w:lsdException w:name="toc 4" w:semiHidden="1" w:uiPriority="135" w:unhideWhenUsed="1"/>
    <w:lsdException w:name="toc 5" w:semiHidden="1" w:uiPriority="135" w:unhideWhenUsed="1"/>
    <w:lsdException w:name="toc 6" w:semiHidden="1" w:uiPriority="135" w:unhideWhenUsed="1"/>
    <w:lsdException w:name="toc 7" w:semiHidden="1" w:uiPriority="135" w:unhideWhenUsed="1"/>
    <w:lsdException w:name="toc 8" w:semiHidden="1" w:uiPriority="135" w:unhideWhenUsed="1"/>
    <w:lsdException w:name="toc 9" w:semiHidden="1" w:uiPriority="135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3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82" w:qFormat="1"/>
    <w:lsdException w:name="Emphasis" w:uiPriority="8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35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336"/>
    <w:lsdException w:name="Light List" w:uiPriority="337"/>
    <w:lsdException w:name="Light Grid" w:uiPriority="338"/>
    <w:lsdException w:name="Medium Shading 1" w:uiPriority="339"/>
    <w:lsdException w:name="Medium Shading 2" w:uiPriority="598"/>
    <w:lsdException w:name="Medium List 1" w:uiPriority="599"/>
    <w:lsdException w:name="Medium List 2" w:uiPriority="600"/>
    <w:lsdException w:name="Medium Grid 1" w:uiPriority="601"/>
    <w:lsdException w:name="Medium Grid 2" w:uiPriority="608"/>
    <w:lsdException w:name="Medium Grid 3" w:uiPriority="609"/>
    <w:lsdException w:name="Dark List" w:uiPriority="628"/>
    <w:lsdException w:name="Colorful Shading" w:uiPriority="629"/>
    <w:lsdException w:name="Colorful List" w:uiPriority="630"/>
    <w:lsdException w:name="Colorful Grid" w:uiPriority="631"/>
    <w:lsdException w:name="Light Shading Accent 1" w:uiPriority="336"/>
    <w:lsdException w:name="Light List Accent 1" w:uiPriority="337"/>
    <w:lsdException w:name="Light Grid Accent 1" w:uiPriority="338"/>
    <w:lsdException w:name="Medium Shading 1 Accent 1" w:uiPriority="339"/>
    <w:lsdException w:name="Medium Shading 2 Accent 1" w:uiPriority="598"/>
    <w:lsdException w:name="Medium List 1 Accent 1" w:uiPriority="599"/>
    <w:lsdException w:name="Revision" w:semiHidden="1"/>
    <w:lsdException w:name="List Paragraph" w:uiPriority="130" w:qFormat="1"/>
    <w:lsdException w:name="Quote" w:uiPriority="101" w:qFormat="1"/>
    <w:lsdException w:name="Intense Quote" w:uiPriority="114" w:qFormat="1"/>
    <w:lsdException w:name="Medium List 2 Accent 1" w:uiPriority="600"/>
    <w:lsdException w:name="Medium Grid 1 Accent 1" w:uiPriority="601"/>
    <w:lsdException w:name="Medium Grid 2 Accent 1" w:uiPriority="608"/>
    <w:lsdException w:name="Medium Grid 3 Accent 1" w:uiPriority="609"/>
    <w:lsdException w:name="Dark List Accent 1" w:uiPriority="628"/>
    <w:lsdException w:name="Colorful Shading Accent 1" w:uiPriority="629"/>
    <w:lsdException w:name="Colorful List Accent 1" w:uiPriority="630"/>
    <w:lsdException w:name="Colorful Grid Accent 1" w:uiPriority="631"/>
    <w:lsdException w:name="Light Shading Accent 2" w:uiPriority="336"/>
    <w:lsdException w:name="Light List Accent 2" w:uiPriority="337"/>
    <w:lsdException w:name="Light Grid Accent 2" w:uiPriority="338"/>
    <w:lsdException w:name="Medium Shading 1 Accent 2" w:uiPriority="339"/>
    <w:lsdException w:name="Medium Shading 2 Accent 2" w:uiPriority="598"/>
    <w:lsdException w:name="Medium List 1 Accent 2" w:uiPriority="599"/>
    <w:lsdException w:name="Medium List 2 Accent 2" w:uiPriority="600"/>
    <w:lsdException w:name="Medium Grid 1 Accent 2" w:uiPriority="601"/>
    <w:lsdException w:name="Medium Grid 2 Accent 2" w:uiPriority="608"/>
    <w:lsdException w:name="Medium Grid 3 Accent 2" w:uiPriority="609"/>
    <w:lsdException w:name="Dark List Accent 2" w:uiPriority="628"/>
    <w:lsdException w:name="Colorful Shading Accent 2" w:uiPriority="629"/>
    <w:lsdException w:name="Colorful List Accent 2" w:uiPriority="630"/>
    <w:lsdException w:name="Colorful Grid Accent 2" w:uiPriority="631"/>
    <w:lsdException w:name="Light Shading Accent 3" w:uiPriority="336"/>
    <w:lsdException w:name="Light List Accent 3" w:uiPriority="337"/>
    <w:lsdException w:name="Light Grid Accent 3" w:uiPriority="338"/>
    <w:lsdException w:name="Medium Shading 1 Accent 3" w:uiPriority="339"/>
    <w:lsdException w:name="Medium Shading 2 Accent 3" w:uiPriority="598"/>
    <w:lsdException w:name="Medium List 1 Accent 3" w:uiPriority="599"/>
    <w:lsdException w:name="Medium List 2 Accent 3" w:uiPriority="600"/>
    <w:lsdException w:name="Medium Grid 1 Accent 3" w:uiPriority="601"/>
    <w:lsdException w:name="Medium Grid 2 Accent 3" w:uiPriority="608"/>
    <w:lsdException w:name="Medium Grid 3 Accent 3" w:uiPriority="609"/>
    <w:lsdException w:name="Dark List Accent 3" w:uiPriority="628"/>
    <w:lsdException w:name="Colorful Shading Accent 3" w:uiPriority="629"/>
    <w:lsdException w:name="Colorful List Accent 3" w:uiPriority="630"/>
    <w:lsdException w:name="Colorful Grid Accent 3" w:uiPriority="631"/>
    <w:lsdException w:name="Light Shading Accent 4" w:uiPriority="336"/>
    <w:lsdException w:name="Light List Accent 4" w:uiPriority="337"/>
    <w:lsdException w:name="Light Grid Accent 4" w:uiPriority="338"/>
    <w:lsdException w:name="Medium Shading 1 Accent 4" w:uiPriority="339"/>
    <w:lsdException w:name="Medium Shading 2 Accent 4" w:uiPriority="598"/>
    <w:lsdException w:name="Medium List 1 Accent 4" w:uiPriority="599"/>
    <w:lsdException w:name="Medium List 2 Accent 4" w:uiPriority="600"/>
    <w:lsdException w:name="Medium Grid 1 Accent 4" w:uiPriority="601"/>
    <w:lsdException w:name="Medium Grid 2 Accent 4" w:uiPriority="608"/>
    <w:lsdException w:name="Medium Grid 3 Accent 4" w:uiPriority="609"/>
    <w:lsdException w:name="Dark List Accent 4" w:uiPriority="628"/>
    <w:lsdException w:name="Colorful Shading Accent 4" w:uiPriority="629"/>
    <w:lsdException w:name="Colorful List Accent 4" w:uiPriority="630"/>
    <w:lsdException w:name="Colorful Grid Accent 4" w:uiPriority="631"/>
    <w:lsdException w:name="Light Shading Accent 5" w:uiPriority="336"/>
    <w:lsdException w:name="Light List Accent 5" w:uiPriority="337"/>
    <w:lsdException w:name="Light Grid Accent 5" w:uiPriority="338"/>
    <w:lsdException w:name="Medium Shading 1 Accent 5" w:uiPriority="339"/>
    <w:lsdException w:name="Medium Shading 2 Accent 5" w:uiPriority="598"/>
    <w:lsdException w:name="Medium List 1 Accent 5" w:uiPriority="599"/>
    <w:lsdException w:name="Medium List 2 Accent 5" w:uiPriority="600"/>
    <w:lsdException w:name="Medium Grid 1 Accent 5" w:uiPriority="601"/>
    <w:lsdException w:name="Medium Grid 2 Accent 5" w:uiPriority="608"/>
    <w:lsdException w:name="Medium Grid 3 Accent 5" w:uiPriority="609"/>
    <w:lsdException w:name="Dark List Accent 5" w:uiPriority="628"/>
    <w:lsdException w:name="Colorful Shading Accent 5" w:uiPriority="629"/>
    <w:lsdException w:name="Colorful List Accent 5" w:uiPriority="630"/>
    <w:lsdException w:name="Colorful Grid Accent 5" w:uiPriority="631"/>
    <w:lsdException w:name="Light Shading Accent 6" w:uiPriority="336"/>
    <w:lsdException w:name="Light List Accent 6" w:uiPriority="337"/>
    <w:lsdException w:name="Light Grid Accent 6" w:uiPriority="338"/>
    <w:lsdException w:name="Medium Shading 1 Accent 6" w:uiPriority="339"/>
    <w:lsdException w:name="Medium Shading 2 Accent 6" w:uiPriority="598"/>
    <w:lsdException w:name="Medium List 1 Accent 6" w:uiPriority="599"/>
    <w:lsdException w:name="Medium List 2 Accent 6" w:uiPriority="600"/>
    <w:lsdException w:name="Medium Grid 1 Accent 6" w:uiPriority="601"/>
    <w:lsdException w:name="Medium Grid 2 Accent 6" w:uiPriority="608"/>
    <w:lsdException w:name="Medium Grid 3 Accent 6" w:uiPriority="609"/>
    <w:lsdException w:name="Dark List Accent 6" w:uiPriority="628"/>
    <w:lsdException w:name="Colorful Shading Accent 6" w:uiPriority="629"/>
    <w:lsdException w:name="Colorful List Accent 6" w:uiPriority="630"/>
    <w:lsdException w:name="Colorful Grid Accent 6" w:uiPriority="631"/>
    <w:lsdException w:name="Subtle Emphasis" w:uiPriority="55" w:qFormat="1"/>
    <w:lsdException w:name="Intense Emphasis" w:uiPriority="81" w:qFormat="1"/>
    <w:lsdException w:name="Subtle Reference" w:uiPriority="115" w:qFormat="1"/>
    <w:lsdException w:name="Intense Reference" w:uiPriority="128" w:qFormat="1"/>
    <w:lsdException w:name="Book Title" w:uiPriority="129" w:qFormat="1"/>
    <w:lsdException w:name="Bibliography" w:semiHidden="1" w:uiPriority="133" w:unhideWhenUsed="1"/>
    <w:lsdException w:name="TOC Heading" w:semiHidden="1" w:uiPriority="135" w:unhideWhenUsed="1" w:qFormat="1"/>
    <w:lsdException w:name="Plain Table 1" w:uiPriority="257"/>
    <w:lsdException w:name="Plain Table 2" w:uiPriority="258"/>
    <w:lsdException w:name="Plain Table 3" w:uiPriority="259"/>
    <w:lsdException w:name="Plain Table 4" w:uiPriority="260"/>
    <w:lsdException w:name="Plain Table 5" w:uiPriority="261"/>
    <w:lsdException w:name="Grid Table Light" w:uiPriority="256"/>
    <w:lsdException w:name="Grid Table 1 Light" w:uiPriority="274"/>
    <w:lsdException w:name="Grid Table 2" w:uiPriority="275"/>
    <w:lsdException w:name="Grid Table 3" w:uiPriority="276"/>
    <w:lsdException w:name="Grid Table 4" w:uiPriority="277"/>
    <w:lsdException w:name="Grid Table 5 Dark" w:uiPriority="296"/>
    <w:lsdException w:name="Grid Table 6 Colorful" w:uiPriority="297"/>
    <w:lsdException w:name="Grid Table 7 Colorful" w:uiPriority="304"/>
    <w:lsdException w:name="Grid Table 1 Light Accent 1" w:uiPriority="274"/>
    <w:lsdException w:name="Grid Table 2 Accent 1" w:uiPriority="275"/>
    <w:lsdException w:name="Grid Table 3 Accent 1" w:uiPriority="276"/>
    <w:lsdException w:name="Grid Table 4 Accent 1" w:uiPriority="277"/>
    <w:lsdException w:name="Grid Table 5 Dark Accent 1" w:uiPriority="296"/>
    <w:lsdException w:name="Grid Table 6 Colorful Accent 1" w:uiPriority="297"/>
    <w:lsdException w:name="Grid Table 7 Colorful Accent 1" w:uiPriority="304"/>
    <w:lsdException w:name="Grid Table 1 Light Accent 2" w:uiPriority="274"/>
    <w:lsdException w:name="Grid Table 2 Accent 2" w:uiPriority="275"/>
    <w:lsdException w:name="Grid Table 3 Accent 2" w:uiPriority="276"/>
    <w:lsdException w:name="Grid Table 4 Accent 2" w:uiPriority="277"/>
    <w:lsdException w:name="Grid Table 5 Dark Accent 2" w:uiPriority="296"/>
    <w:lsdException w:name="Grid Table 6 Colorful Accent 2" w:uiPriority="297"/>
    <w:lsdException w:name="Grid Table 7 Colorful Accent 2" w:uiPriority="304"/>
    <w:lsdException w:name="Grid Table 1 Light Accent 3" w:uiPriority="274"/>
    <w:lsdException w:name="Grid Table 2 Accent 3" w:uiPriority="275"/>
    <w:lsdException w:name="Grid Table 3 Accent 3" w:uiPriority="276"/>
    <w:lsdException w:name="Grid Table 4 Accent 3" w:uiPriority="277"/>
    <w:lsdException w:name="Grid Table 5 Dark Accent 3" w:uiPriority="296"/>
    <w:lsdException w:name="Grid Table 6 Colorful Accent 3" w:uiPriority="297"/>
    <w:lsdException w:name="Grid Table 7 Colorful Accent 3" w:uiPriority="304"/>
    <w:lsdException w:name="Grid Table 1 Light Accent 4" w:uiPriority="274"/>
    <w:lsdException w:name="Grid Table 2 Accent 4" w:uiPriority="275"/>
    <w:lsdException w:name="Grid Table 3 Accent 4" w:uiPriority="276"/>
    <w:lsdException w:name="Grid Table 4 Accent 4" w:uiPriority="277"/>
    <w:lsdException w:name="Grid Table 5 Dark Accent 4" w:uiPriority="296"/>
    <w:lsdException w:name="Grid Table 6 Colorful Accent 4" w:uiPriority="297"/>
    <w:lsdException w:name="Grid Table 7 Colorful Accent 4" w:uiPriority="304"/>
    <w:lsdException w:name="Grid Table 1 Light Accent 5" w:uiPriority="274"/>
    <w:lsdException w:name="Grid Table 2 Accent 5" w:uiPriority="275"/>
    <w:lsdException w:name="Grid Table 3 Accent 5" w:uiPriority="276"/>
    <w:lsdException w:name="Grid Table 4 Accent 5" w:uiPriority="277"/>
    <w:lsdException w:name="Grid Table 5 Dark Accent 5" w:uiPriority="296"/>
    <w:lsdException w:name="Grid Table 6 Colorful Accent 5" w:uiPriority="297"/>
    <w:lsdException w:name="Grid Table 7 Colorful Accent 5" w:uiPriority="304"/>
    <w:lsdException w:name="Grid Table 1 Light Accent 6" w:uiPriority="274"/>
    <w:lsdException w:name="Grid Table 2 Accent 6" w:uiPriority="275"/>
    <w:lsdException w:name="Grid Table 3 Accent 6" w:uiPriority="276"/>
    <w:lsdException w:name="Grid Table 4 Accent 6" w:uiPriority="277"/>
    <w:lsdException w:name="Grid Table 5 Dark Accent 6" w:uiPriority="296"/>
    <w:lsdException w:name="Grid Table 6 Colorful Accent 6" w:uiPriority="297"/>
    <w:lsdException w:name="Grid Table 7 Colorful Accent 6" w:uiPriority="304"/>
    <w:lsdException w:name="List Table 1 Light" w:uiPriority="274"/>
    <w:lsdException w:name="List Table 2" w:uiPriority="275"/>
    <w:lsdException w:name="List Table 3" w:uiPriority="276"/>
    <w:lsdException w:name="List Table 4" w:uiPriority="277"/>
    <w:lsdException w:name="List Table 5 Dark" w:uiPriority="296"/>
    <w:lsdException w:name="List Table 6 Colorful" w:uiPriority="297"/>
    <w:lsdException w:name="List Table 7 Colorful" w:uiPriority="304"/>
    <w:lsdException w:name="List Table 1 Light Accent 1" w:uiPriority="274"/>
    <w:lsdException w:name="List Table 2 Accent 1" w:uiPriority="275"/>
    <w:lsdException w:name="List Table 3 Accent 1" w:uiPriority="276"/>
    <w:lsdException w:name="List Table 4 Accent 1" w:uiPriority="277"/>
    <w:lsdException w:name="List Table 5 Dark Accent 1" w:uiPriority="296"/>
    <w:lsdException w:name="List Table 6 Colorful Accent 1" w:uiPriority="297"/>
    <w:lsdException w:name="List Table 7 Colorful Accent 1" w:uiPriority="304"/>
    <w:lsdException w:name="List Table 1 Light Accent 2" w:uiPriority="274"/>
    <w:lsdException w:name="List Table 2 Accent 2" w:uiPriority="275"/>
    <w:lsdException w:name="List Table 3 Accent 2" w:uiPriority="276"/>
    <w:lsdException w:name="List Table 4 Accent 2" w:uiPriority="277"/>
    <w:lsdException w:name="List Table 5 Dark Accent 2" w:uiPriority="296"/>
    <w:lsdException w:name="List Table 6 Colorful Accent 2" w:uiPriority="297"/>
    <w:lsdException w:name="List Table 7 Colorful Accent 2" w:uiPriority="304"/>
    <w:lsdException w:name="List Table 1 Light Accent 3" w:uiPriority="274"/>
    <w:lsdException w:name="List Table 2 Accent 3" w:uiPriority="275"/>
    <w:lsdException w:name="List Table 3 Accent 3" w:uiPriority="276"/>
    <w:lsdException w:name="List Table 4 Accent 3" w:uiPriority="277"/>
    <w:lsdException w:name="List Table 5 Dark Accent 3" w:uiPriority="296"/>
    <w:lsdException w:name="List Table 6 Colorful Accent 3" w:uiPriority="297"/>
    <w:lsdException w:name="List Table 7 Colorful Accent 3" w:uiPriority="304"/>
    <w:lsdException w:name="List Table 1 Light Accent 4" w:uiPriority="274"/>
    <w:lsdException w:name="List Table 2 Accent 4" w:uiPriority="275"/>
    <w:lsdException w:name="List Table 3 Accent 4" w:uiPriority="276"/>
    <w:lsdException w:name="List Table 4 Accent 4" w:uiPriority="277"/>
    <w:lsdException w:name="List Table 5 Dark Accent 4" w:uiPriority="296"/>
    <w:lsdException w:name="List Table 6 Colorful Accent 4" w:uiPriority="297"/>
    <w:lsdException w:name="List Table 7 Colorful Accent 4" w:uiPriority="304"/>
    <w:lsdException w:name="List Table 1 Light Accent 5" w:uiPriority="274"/>
    <w:lsdException w:name="List Table 2 Accent 5" w:uiPriority="275"/>
    <w:lsdException w:name="List Table 3 Accent 5" w:uiPriority="276"/>
    <w:lsdException w:name="List Table 4 Accent 5" w:uiPriority="277"/>
    <w:lsdException w:name="List Table 5 Dark Accent 5" w:uiPriority="296"/>
    <w:lsdException w:name="List Table 6 Colorful Accent 5" w:uiPriority="297"/>
    <w:lsdException w:name="List Table 7 Colorful Accent 5" w:uiPriority="304"/>
    <w:lsdException w:name="List Table 1 Light Accent 6" w:uiPriority="274"/>
    <w:lsdException w:name="List Table 2 Accent 6" w:uiPriority="275"/>
    <w:lsdException w:name="List Table 3 Accent 6" w:uiPriority="276"/>
    <w:lsdException w:name="List Table 4 Accent 6" w:uiPriority="277"/>
    <w:lsdException w:name="List Table 5 Dark Accent 6" w:uiPriority="296"/>
    <w:lsdException w:name="List Table 6 Colorful Accent 6" w:uiPriority="297"/>
    <w:lsdException w:name="List Table 7 Colorful Accent 6" w:uiPriority="304"/>
  </w:latentStyles>
  <w:style w:type="paragraph" w:styleId="Title">
    <w:name w:val="Title"/>
    <w:next w:val="Title"/>
    <w:qFormat/>
    <w:rPr>
      <w:sz w:val="56"/>
      <w:szCs w:val="56"/>
    </w:rPr>
  </w:style>
  <w:style w:type="paragraph" w:customStyle="1" w:styleId="Heading1">
    <w:name w:val="Heading 1"/>
    <w:next w:val="Title"/>
    <w:qFormat/>
    <w:rPr>
      <w:color w:val="2E74B5"/>
      <w:sz w:val="32"/>
      <w:szCs w:val="32"/>
    </w:rPr>
  </w:style>
  <w:style w:type="paragraph" w:customStyle="1" w:styleId="Heading2">
    <w:name w:val="Heading 2"/>
    <w:next w:val="Title"/>
    <w:qFormat/>
    <w:rPr>
      <w:color w:val="2E74B5"/>
      <w:sz w:val="26"/>
      <w:szCs w:val="26"/>
    </w:rPr>
  </w:style>
  <w:style w:type="paragraph" w:customStyle="1" w:styleId="Heading3">
    <w:name w:val="Heading 3"/>
    <w:next w:val="Title"/>
    <w:qFormat/>
    <w:rPr>
      <w:color w:val="1F4D78"/>
      <w:sz w:val="24"/>
      <w:szCs w:val="24"/>
    </w:rPr>
  </w:style>
  <w:style w:type="paragraph" w:customStyle="1" w:styleId="Heading4">
    <w:name w:val="Heading 4"/>
    <w:next w:val="Title"/>
    <w:qFormat/>
    <w:rPr>
      <w:i/>
      <w:iCs/>
      <w:color w:val="2E74B5"/>
    </w:rPr>
  </w:style>
  <w:style w:type="paragraph" w:customStyle="1" w:styleId="Heading5">
    <w:name w:val="Heading 5"/>
    <w:next w:val="Title"/>
    <w:qFormat/>
    <w:rPr>
      <w:color w:val="2E74B5"/>
    </w:rPr>
  </w:style>
  <w:style w:type="paragraph" w:customStyle="1" w:styleId="Heading6">
    <w:name w:val="Heading 6"/>
    <w:next w:val="Title"/>
    <w:qFormat/>
    <w:rPr>
      <w:color w:val="1F4D78"/>
    </w:rPr>
  </w:style>
  <w:style w:type="paragraph" w:styleId="Strong">
    <w:name w:val="Strong"/>
    <w:next w:val="Title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 w:color="auto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uiPriority w:val="99"/>
    <w:link w:val="FootnoteTextChar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uiPriority w:val="99"/>
    <w:link w:val="FootnoteText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uiPriority w:val="99"/>
    <w:link w:val="EndnoteTextChar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uiPriority w:val="99"/>
    <w:link w:val="EndnoteText"/>
    <w:semiHidden/>
    <w:unhideWhenUsed/>
    <w:rPr>
      <w:sz w:val="20"/>
      <w:szCs w:val="20"/>
    </w:rPr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default="1" w:styleId="a3">
    <w:name w:val="Default Paragraph Font"/>
    <w:uiPriority w:val="1"/>
    <w:semiHidden/>
    <w:unhideWhenUsed/>
  </w:style>
  <w:style w:type="paragraph" w:default="1" w:styleId="a2">
    <w:name w:val="Normal"/>
    <w:qFormat/>
    <w:pPr>
      <w:autoSpaceDE w:val="off"/>
      <w:autoSpaceDN w:val="off"/>
      <w:widowControl w:val="off"/>
      <w:wordWrap w:val="off"/>
    </w:pPr>
  </w:style>
  <w:style w:type="numbering" w:default="1" w:styleId="a5">
    <w:name w:val="No List"/>
    <w:uiPriority w:val="99"/>
    <w:semiHidden/>
    <w:unhideWhenUsed/>
  </w:style>
  <w:style w:type="table" w:styleId="a0">
    <w:name w:val="Table Grid"/>
    <w:uiPriority w:val="39"/>
    <w:basedOn w:val="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Hancom Office">
  <a:themeElements>
    <a:clrScheme name="Hancom Office">
      <a:dk1>
        <a:sysClr val="windowText" lastClr="000000"/>
      </a:dk1>
      <a:lt1>
        <a:sysClr val="window" lastClr="FFFFFF"/>
      </a:lt1>
      <a:dk2>
        <a:srgbClr val="3A3C84"/>
      </a:dk2>
      <a:lt2>
        <a:srgbClr val="FAF3DB"/>
      </a:lt2>
      <a:accent1>
        <a:srgbClr val="6182D6"/>
      </a:accent1>
      <a:accent2>
        <a:srgbClr val="FF843A"/>
      </a:accent2>
      <a:accent3>
        <a:srgbClr val="B2B2B2"/>
      </a:accent3>
      <a:accent4>
        <a:srgbClr val="FFD700"/>
      </a:accent4>
      <a:accent5>
        <a:srgbClr val="289B6E"/>
      </a:accent5>
      <a:accent6>
        <a:srgbClr val="9D5CBB"/>
      </a:accent6>
      <a:hlink>
        <a:srgbClr val="0000FF"/>
      </a:hlink>
      <a:folHlink>
        <a:srgbClr val="800080"/>
      </a:folHlink>
    </a:clrScheme>
    <a:fontScheme name="Hancom Office">
      <a:majorFont>
        <a:latin typeface="맑은 고딕"/>
        <a:ea typeface=""/>
        <a:cs typeface=""/>
        <a:font script="Jpan" typeface="MS Gothic"/>
        <a:font script="Hang" typeface="맑은 고딕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맑은 고딕"/>
        <a:ea typeface=""/>
        <a:cs typeface=""/>
        <a:font script="Jpan" typeface="MS Mincho"/>
        <a:font script="Hang" typeface="맑은 고딕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Hancom 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5000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Un-named</dc:creator>
  <cp:keywords/>
  <dc:description/>
  <cp:lastModifiedBy>USER</cp:lastModifiedBy>
  <cp:revision>1</cp:revision>
  <dcterms:created xsi:type="dcterms:W3CDTF">2026-08-14T03:10:44Z</dcterms:created>
  <dcterms:modified xsi:type="dcterms:W3CDTF">2026-08-14T05:17:12Z</dcterms:modified>
  <cp:lastPrinted>2026-08-14T03:14:06Z</cp:lastPrinted>
  <cp:version>1300.0100.01</cp:version>
</cp:coreProperties>
</file>